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67" w:rsidRDefault="00845B34">
      <w:pPr>
        <w:widowControl/>
        <w:jc w:val="center"/>
        <w:rPr>
          <w:rFonts w:ascii="黑体" w:eastAsia="黑体" w:hAnsi="黑体" w:cs="黑体"/>
          <w:bCs/>
          <w:kern w:val="0"/>
          <w:sz w:val="36"/>
          <w:szCs w:val="36"/>
        </w:rPr>
      </w:pPr>
      <w:bookmarkStart w:id="0" w:name="_GoBack"/>
      <w:bookmarkEnd w:id="0"/>
      <w:r>
        <w:rPr>
          <w:rFonts w:ascii="黑体" w:eastAsia="黑体" w:hAnsi="黑体" w:cs="黑体" w:hint="eastAsia"/>
          <w:bCs/>
          <w:kern w:val="0"/>
          <w:sz w:val="36"/>
          <w:szCs w:val="36"/>
        </w:rPr>
        <w:t>《全国税务师职业资格考试大纲（</w:t>
      </w:r>
      <w:r>
        <w:rPr>
          <w:rFonts w:ascii="黑体" w:eastAsia="黑体" w:hAnsi="黑体" w:cs="黑体" w:hint="eastAsia"/>
          <w:bCs/>
          <w:kern w:val="0"/>
          <w:sz w:val="36"/>
          <w:szCs w:val="36"/>
        </w:rPr>
        <w:t>2019</w:t>
      </w:r>
      <w:r>
        <w:rPr>
          <w:rFonts w:ascii="黑体" w:eastAsia="黑体" w:hAnsi="黑体" w:cs="黑体" w:hint="eastAsia"/>
          <w:bCs/>
          <w:kern w:val="0"/>
          <w:sz w:val="36"/>
          <w:szCs w:val="36"/>
        </w:rPr>
        <w:t>年度）》</w:t>
      </w: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845B34">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1</w:t>
      </w:r>
      <w:r>
        <w:rPr>
          <w:rFonts w:ascii="仿宋" w:eastAsia="仿宋" w:hAnsi="仿宋" w:cs="仿宋" w:hint="eastAsia"/>
          <w:kern w:val="0"/>
          <w:sz w:val="30"/>
          <w:szCs w:val="30"/>
        </w:rPr>
        <w:t>：《税法（</w:t>
      </w:r>
      <w:r>
        <w:rPr>
          <w:rFonts w:ascii="仿宋" w:eastAsia="仿宋" w:hAnsi="仿宋" w:cs="仿宋" w:hint="eastAsia"/>
          <w:kern w:val="0"/>
          <w:sz w:val="30"/>
          <w:szCs w:val="30"/>
        </w:rPr>
        <w:t>I</w:t>
      </w:r>
      <w:r>
        <w:rPr>
          <w:rFonts w:ascii="仿宋" w:eastAsia="仿宋" w:hAnsi="仿宋" w:cs="仿宋" w:hint="eastAsia"/>
          <w:kern w:val="0"/>
          <w:sz w:val="30"/>
          <w:szCs w:val="30"/>
        </w:rPr>
        <w:t>）》考试大纲</w:t>
      </w:r>
      <w:r>
        <w:rPr>
          <w:rFonts w:ascii="仿宋" w:eastAsia="仿宋" w:hAnsi="仿宋" w:cs="仿宋" w:hint="eastAsia"/>
          <w:kern w:val="0"/>
          <w:sz w:val="30"/>
          <w:szCs w:val="30"/>
        </w:rPr>
        <w:t xml:space="preserve">  </w:t>
      </w:r>
    </w:p>
    <w:p w:rsidR="00086B67" w:rsidRDefault="00845B34">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2</w:t>
      </w:r>
      <w:r>
        <w:rPr>
          <w:rFonts w:ascii="仿宋" w:eastAsia="仿宋" w:hAnsi="仿宋" w:cs="仿宋" w:hint="eastAsia"/>
          <w:kern w:val="0"/>
          <w:sz w:val="30"/>
          <w:szCs w:val="30"/>
        </w:rPr>
        <w:t>：《税法（</w:t>
      </w:r>
      <w:r>
        <w:rPr>
          <w:rFonts w:ascii="仿宋" w:eastAsia="仿宋" w:hAnsi="仿宋" w:cs="仿宋" w:hint="eastAsia"/>
          <w:kern w:val="0"/>
          <w:sz w:val="30"/>
          <w:szCs w:val="30"/>
        </w:rPr>
        <w:t>II</w:t>
      </w:r>
      <w:r>
        <w:rPr>
          <w:rFonts w:ascii="仿宋" w:eastAsia="仿宋" w:hAnsi="仿宋" w:cs="仿宋" w:hint="eastAsia"/>
          <w:kern w:val="0"/>
          <w:sz w:val="30"/>
          <w:szCs w:val="30"/>
        </w:rPr>
        <w:t>）》考试大纲</w:t>
      </w:r>
    </w:p>
    <w:p w:rsidR="00086B67" w:rsidRDefault="00845B34">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3</w:t>
      </w:r>
      <w:r>
        <w:rPr>
          <w:rFonts w:ascii="仿宋" w:eastAsia="仿宋" w:hAnsi="仿宋" w:cs="仿宋" w:hint="eastAsia"/>
          <w:kern w:val="0"/>
          <w:sz w:val="30"/>
          <w:szCs w:val="30"/>
        </w:rPr>
        <w:t>：《涉税服务相关法律》考试大纲</w:t>
      </w:r>
    </w:p>
    <w:p w:rsidR="00086B67" w:rsidRDefault="00845B34">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4</w:t>
      </w:r>
      <w:r>
        <w:rPr>
          <w:rFonts w:ascii="仿宋" w:eastAsia="仿宋" w:hAnsi="仿宋" w:cs="仿宋" w:hint="eastAsia"/>
          <w:kern w:val="0"/>
          <w:sz w:val="30"/>
          <w:szCs w:val="30"/>
        </w:rPr>
        <w:t>：《财务与会计》考试大纲</w:t>
      </w:r>
    </w:p>
    <w:p w:rsidR="00086B67" w:rsidRDefault="00845B34">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5</w:t>
      </w:r>
      <w:r>
        <w:rPr>
          <w:rFonts w:ascii="仿宋" w:eastAsia="仿宋" w:hAnsi="仿宋" w:cs="仿宋" w:hint="eastAsia"/>
          <w:kern w:val="0"/>
          <w:sz w:val="30"/>
          <w:szCs w:val="30"/>
        </w:rPr>
        <w:t>：《涉税服务实务》考试大纲</w:t>
      </w: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086B67">
      <w:pPr>
        <w:widowControl/>
        <w:rPr>
          <w:rFonts w:ascii="仿宋" w:eastAsia="仿宋" w:hAnsi="仿宋" w:cs="仿宋"/>
          <w:b/>
          <w:kern w:val="0"/>
          <w:sz w:val="30"/>
          <w:szCs w:val="30"/>
        </w:rPr>
      </w:pPr>
    </w:p>
    <w:p w:rsidR="00086B67" w:rsidRDefault="00845B34">
      <w:pPr>
        <w:widowControl/>
        <w:rPr>
          <w:rFonts w:ascii="仿宋" w:eastAsia="仿宋" w:hAnsi="仿宋" w:cs="仿宋"/>
          <w:bCs/>
          <w:kern w:val="0"/>
          <w:sz w:val="30"/>
          <w:szCs w:val="30"/>
        </w:rPr>
      </w:pPr>
      <w:r>
        <w:rPr>
          <w:rFonts w:ascii="仿宋" w:eastAsia="仿宋" w:hAnsi="仿宋" w:cs="仿宋" w:hint="eastAsia"/>
          <w:bCs/>
          <w:kern w:val="0"/>
          <w:sz w:val="30"/>
          <w:szCs w:val="30"/>
        </w:rPr>
        <w:lastRenderedPageBreak/>
        <w:t>附件</w:t>
      </w:r>
      <w:r>
        <w:rPr>
          <w:rFonts w:ascii="仿宋" w:eastAsia="仿宋" w:hAnsi="仿宋" w:cs="仿宋" w:hint="eastAsia"/>
          <w:bCs/>
          <w:kern w:val="0"/>
          <w:sz w:val="30"/>
          <w:szCs w:val="30"/>
        </w:rPr>
        <w:t>1</w:t>
      </w:r>
    </w:p>
    <w:p w:rsidR="00086B67" w:rsidRDefault="00845B34">
      <w:pPr>
        <w:widowControl/>
        <w:ind w:firstLine="480"/>
        <w:jc w:val="center"/>
        <w:rPr>
          <w:rFonts w:ascii="仿宋" w:eastAsia="仿宋" w:hAnsi="仿宋" w:cs="仿宋"/>
          <w:b/>
          <w:kern w:val="0"/>
          <w:sz w:val="30"/>
          <w:szCs w:val="30"/>
        </w:rPr>
      </w:pPr>
      <w:r>
        <w:rPr>
          <w:rFonts w:ascii="仿宋" w:eastAsia="仿宋" w:hAnsi="仿宋" w:cs="仿宋" w:hint="eastAsia"/>
          <w:b/>
          <w:kern w:val="0"/>
          <w:sz w:val="30"/>
          <w:szCs w:val="30"/>
        </w:rPr>
        <w:t>《税法（</w:t>
      </w:r>
      <w:r>
        <w:rPr>
          <w:rFonts w:ascii="仿宋" w:eastAsia="仿宋" w:hAnsi="仿宋" w:cs="仿宋" w:hint="eastAsia"/>
          <w:b/>
          <w:kern w:val="0"/>
          <w:sz w:val="30"/>
          <w:szCs w:val="30"/>
        </w:rPr>
        <w:t>I</w:t>
      </w:r>
      <w:r>
        <w:rPr>
          <w:rFonts w:ascii="仿宋" w:eastAsia="仿宋" w:hAnsi="仿宋" w:cs="仿宋" w:hint="eastAsia"/>
          <w:b/>
          <w:kern w:val="0"/>
          <w:sz w:val="30"/>
          <w:szCs w:val="30"/>
        </w:rPr>
        <w:t>）》考试大纲</w:t>
      </w:r>
    </w:p>
    <w:p w:rsidR="00086B67" w:rsidRDefault="00845B34">
      <w:pPr>
        <w:widowControl/>
        <w:ind w:firstLine="480"/>
        <w:jc w:val="center"/>
        <w:rPr>
          <w:rFonts w:ascii="仿宋" w:eastAsia="仿宋" w:hAnsi="仿宋" w:cs="仿宋"/>
          <w:b/>
          <w:kern w:val="0"/>
          <w:sz w:val="30"/>
          <w:szCs w:val="30"/>
        </w:rPr>
      </w:pPr>
      <w:r>
        <w:rPr>
          <w:rFonts w:ascii="仿宋" w:eastAsia="仿宋" w:hAnsi="仿宋" w:cs="仿宋" w:hint="eastAsia"/>
          <w:b/>
          <w:kern w:val="0"/>
          <w:sz w:val="30"/>
          <w:szCs w:val="30"/>
        </w:rPr>
        <w:t>（</w:t>
      </w:r>
      <w:r>
        <w:rPr>
          <w:rFonts w:ascii="仿宋" w:eastAsia="仿宋" w:hAnsi="仿宋" w:cs="仿宋" w:hint="eastAsia"/>
          <w:b/>
          <w:kern w:val="0"/>
          <w:sz w:val="30"/>
          <w:szCs w:val="30"/>
        </w:rPr>
        <w:t>2019</w:t>
      </w:r>
      <w:r>
        <w:rPr>
          <w:rFonts w:ascii="仿宋" w:eastAsia="仿宋" w:hAnsi="仿宋" w:cs="仿宋" w:hint="eastAsia"/>
          <w:b/>
          <w:kern w:val="0"/>
          <w:sz w:val="30"/>
          <w:szCs w:val="30"/>
        </w:rPr>
        <w:t>年度）</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本科目考试内容涉及的政策法规截止到</w:t>
      </w:r>
      <w:r>
        <w:rPr>
          <w:rFonts w:ascii="仿宋" w:eastAsia="仿宋" w:hAnsi="仿宋" w:cs="仿宋" w:hint="eastAsia"/>
          <w:kern w:val="0"/>
          <w:sz w:val="30"/>
          <w:szCs w:val="30"/>
        </w:rPr>
        <w:t>2019</w:t>
      </w:r>
      <w:r>
        <w:rPr>
          <w:rFonts w:ascii="仿宋" w:eastAsia="仿宋" w:hAnsi="仿宋" w:cs="仿宋" w:hint="eastAsia"/>
          <w:kern w:val="0"/>
          <w:sz w:val="30"/>
          <w:szCs w:val="30"/>
        </w:rPr>
        <w:t>年度</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日前发布的税收政策（含</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日以后执行的税收政策，如：</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车辆购置税法），考生应注意标注时间。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本次修订：</w:t>
      </w:r>
      <w:r>
        <w:rPr>
          <w:rFonts w:ascii="仿宋" w:eastAsia="仿宋" w:hAnsi="仿宋" w:cs="仿宋" w:hint="eastAsia"/>
          <w:kern w:val="0"/>
          <w:sz w:val="30"/>
          <w:szCs w:val="30"/>
        </w:rPr>
        <w:t>1.</w:t>
      </w:r>
      <w:r>
        <w:rPr>
          <w:rFonts w:ascii="仿宋" w:eastAsia="仿宋" w:hAnsi="仿宋" w:cs="仿宋" w:hint="eastAsia"/>
          <w:kern w:val="0"/>
          <w:sz w:val="30"/>
          <w:szCs w:val="30"/>
        </w:rPr>
        <w:t>调整了第二章增值税小微企业增值税优惠政策、增值税税率；</w:t>
      </w:r>
      <w:r>
        <w:rPr>
          <w:rFonts w:ascii="仿宋" w:eastAsia="仿宋" w:hAnsi="仿宋" w:cs="仿宋" w:hint="eastAsia"/>
          <w:kern w:val="0"/>
          <w:sz w:val="30"/>
          <w:szCs w:val="30"/>
        </w:rPr>
        <w:t>2.</w:t>
      </w:r>
      <w:r>
        <w:rPr>
          <w:rFonts w:ascii="仿宋" w:eastAsia="仿宋" w:hAnsi="仿宋" w:cs="仿宋" w:hint="eastAsia"/>
          <w:kern w:val="0"/>
          <w:sz w:val="30"/>
          <w:szCs w:val="30"/>
        </w:rPr>
        <w:t>增加了有利于投资、消费和出口等方面增值税优惠政策；</w:t>
      </w:r>
      <w:r>
        <w:rPr>
          <w:rFonts w:ascii="仿宋" w:eastAsia="仿宋" w:hAnsi="仿宋" w:cs="仿宋" w:hint="eastAsia"/>
          <w:kern w:val="0"/>
          <w:sz w:val="30"/>
          <w:szCs w:val="30"/>
        </w:rPr>
        <w:t>3.</w:t>
      </w:r>
      <w:r>
        <w:rPr>
          <w:rFonts w:ascii="仿宋" w:eastAsia="仿宋" w:hAnsi="仿宋" w:cs="仿宋" w:hint="eastAsia"/>
          <w:kern w:val="0"/>
          <w:sz w:val="30"/>
          <w:szCs w:val="30"/>
        </w:rPr>
        <w:t>对增值税发票按照类型和管理要求进行重新梳理；</w:t>
      </w:r>
      <w:r>
        <w:rPr>
          <w:rFonts w:ascii="仿宋" w:eastAsia="仿宋" w:hAnsi="仿宋" w:cs="仿宋" w:hint="eastAsia"/>
          <w:kern w:val="0"/>
          <w:sz w:val="30"/>
          <w:szCs w:val="30"/>
        </w:rPr>
        <w:t>4.</w:t>
      </w:r>
      <w:r>
        <w:rPr>
          <w:rFonts w:ascii="仿宋" w:eastAsia="仿宋" w:hAnsi="仿宋" w:cs="仿宋" w:hint="eastAsia"/>
          <w:kern w:val="0"/>
          <w:sz w:val="30"/>
          <w:szCs w:val="30"/>
        </w:rPr>
        <w:t>增加了第六章车辆购置税法的内容。</w:t>
      </w:r>
    </w:p>
    <w:p w:rsidR="00086B67" w:rsidRDefault="00086B67">
      <w:pPr>
        <w:widowControl/>
        <w:ind w:firstLine="480"/>
        <w:jc w:val="left"/>
        <w:rPr>
          <w:rFonts w:ascii="仿宋" w:eastAsia="仿宋" w:hAnsi="仿宋" w:cs="仿宋"/>
          <w:kern w:val="0"/>
          <w:sz w:val="30"/>
          <w:szCs w:val="30"/>
        </w:rPr>
      </w:pP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税法基本原理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一、税法概述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熟悉税法的原则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熟悉税法的效力</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掌握税法的解释</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了解税法的作用</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了解税法与其他部门法的关系</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二、税收法律关系</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掌握税收法律关系的主体</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了解税收法律关系的产生、变更、消灭</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三、税收实体法与税收程序法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掌握税收实体法要素的主要规定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掌握税收程序法的基本制度</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四、税法的运行</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熟悉税收立法的有关规定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熟悉税收执法的主要内容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了解税收司法的相关规定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五、税法的建立与发展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了解中国历史上的税法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了解新中国税法的建立与发展</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增值税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一、增值税概述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熟悉增值税的类型</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熟悉增值税的性质及计税原理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了解增值税的计税方法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了解增值税的特点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了解我国增值税制度的建立与发展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二、纳税义务人与扣缴义务人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熟悉增值税纳税义务人与扣缴义务人的基本规定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掌握增值税纳税人的分类及依据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掌握小规模纳税人的标准及管理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掌握一般纳税人的登记范围、程序及管理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掌握增值税征税范围的一般规定及具体范围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掌握视同销售行为的征税规定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掌握混合销售行为的征税规定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（四）掌握兼营的征税规定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熟悉征税范围的具体规定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（六）熟悉不征增值税的项目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了解增值税整体税负的涵义</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了解确定增值税税率的基本原则及增值税税率的类型</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掌握增值税基本税率及适用范围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掌握增值税低税率及适用范围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熟悉跨境应税行为适用零税率的范围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掌握增值税的征收率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掌握《增值税暂行条例》规定的免税项目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了解财政部国家税务总局规定的其他税收优惠政策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掌握“营改增”相关增值税优惠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掌握起征点的政策规定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掌握其他有关增值税优惠政策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六、增值税计税方法的一般规定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（一）掌握增值税的一般计税方法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（二）了解简易计税方法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（三）了解扣缴计税方法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七、一般计税方法应纳税额的计算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掌握销项税额的确定，尤其是销售额的具体规定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掌握进项税额的具体规定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掌握应纳税额计算的相关规定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了解特定行业增值税的处理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八、简易计税方法应纳税额的计算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掌握含税销售额的换算和应纳税额计算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掌握小规模纳税人购进税控收款机的进项税额抵扣</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（三）掌握小规模纳税人销售自己使用过的固定资产的税务处理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（四）掌握“营改增”试点小规模纳税人缴纳增值税的相关政策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（五）掌握一般纳税人按简易方法计税的规定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九、进口环节增值税的征收</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熟悉进口货物应纳税额的计算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十、特定企业（或交易行为）的增值税政策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（一）掌握成品油零售加油站增值税规定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（二）掌握电力产品征收增值税的具体规定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（三）了解核电行业增值税规定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（四）了解油气田企业增值税管理规定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（五）了解黄金交易、铂金交易、货物期货与钻石交易增值税规定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（六）总分机构试点纳税人增值税计税缴纳暂行办法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（七）掌握转让不动产增值税征收管理的规定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（八）掌握提供不动产经营租赁服务增值税征收管理规定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（九）掌握跨县（市、区）提供建筑服务增值税征收管理规定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（十）掌握房地产开发企业销售自行开发的房地产项目增值税征收管理规定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（十一）掌握资管产品增值税的征收管理规定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十一、出口货物、劳务及跨境应税行为增值税的退（免）税和征税规定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出口货物、劳务及跨境应税行为退（免）税基本政策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了解出口货物、劳务及跨境应税行为增值税退</w:t>
      </w:r>
      <w:r>
        <w:rPr>
          <w:rFonts w:ascii="仿宋" w:eastAsia="仿宋" w:hAnsi="仿宋" w:cs="仿宋" w:hint="eastAsia"/>
          <w:kern w:val="0"/>
          <w:sz w:val="30"/>
          <w:szCs w:val="30"/>
        </w:rPr>
        <w:t>(</w:t>
      </w:r>
      <w:r>
        <w:rPr>
          <w:rFonts w:ascii="仿宋" w:eastAsia="仿宋" w:hAnsi="仿宋" w:cs="仿宋" w:hint="eastAsia"/>
          <w:kern w:val="0"/>
          <w:sz w:val="30"/>
          <w:szCs w:val="30"/>
        </w:rPr>
        <w:t>免</w:t>
      </w:r>
      <w:r>
        <w:rPr>
          <w:rFonts w:ascii="仿宋" w:eastAsia="仿宋" w:hAnsi="仿宋" w:cs="仿宋" w:hint="eastAsia"/>
          <w:kern w:val="0"/>
          <w:sz w:val="30"/>
          <w:szCs w:val="30"/>
        </w:rPr>
        <w:t>)</w:t>
      </w:r>
      <w:r>
        <w:rPr>
          <w:rFonts w:ascii="仿宋" w:eastAsia="仿宋" w:hAnsi="仿宋" w:cs="仿宋" w:hint="eastAsia"/>
          <w:kern w:val="0"/>
          <w:sz w:val="30"/>
          <w:szCs w:val="30"/>
        </w:rPr>
        <w:t>税办法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了解增值税出口退税率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了解增值税退</w:t>
      </w:r>
      <w:r>
        <w:rPr>
          <w:rFonts w:ascii="仿宋" w:eastAsia="仿宋" w:hAnsi="仿宋" w:cs="仿宋" w:hint="eastAsia"/>
          <w:kern w:val="0"/>
          <w:sz w:val="30"/>
          <w:szCs w:val="30"/>
        </w:rPr>
        <w:t>(</w:t>
      </w:r>
      <w:r>
        <w:rPr>
          <w:rFonts w:ascii="仿宋" w:eastAsia="仿宋" w:hAnsi="仿宋" w:cs="仿宋" w:hint="eastAsia"/>
          <w:kern w:val="0"/>
          <w:sz w:val="30"/>
          <w:szCs w:val="30"/>
        </w:rPr>
        <w:t>免</w:t>
      </w:r>
      <w:r>
        <w:rPr>
          <w:rFonts w:ascii="仿宋" w:eastAsia="仿宋" w:hAnsi="仿宋" w:cs="仿宋" w:hint="eastAsia"/>
          <w:kern w:val="0"/>
          <w:sz w:val="30"/>
          <w:szCs w:val="30"/>
        </w:rPr>
        <w:t>)</w:t>
      </w:r>
      <w:r>
        <w:rPr>
          <w:rFonts w:ascii="仿宋" w:eastAsia="仿宋" w:hAnsi="仿宋" w:cs="仿宋" w:hint="eastAsia"/>
          <w:kern w:val="0"/>
          <w:sz w:val="30"/>
          <w:szCs w:val="30"/>
        </w:rPr>
        <w:t>税的计税依据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掌握增值税免抵退税和免退税的计算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了解出口货物、劳务及应税行为增值税免税政策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了解出口货物、劳务及应税行为增值税征税政策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十二、申报与缴纳</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掌握纳税义务发生时间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了解纳税期限</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了解纳税地点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十三、增值税发票的使用和管理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（一）增值税专用发票</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（二）增值税普通发票</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（三）增值税电子普通发票</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（四）机动车销售统一发票</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消费税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一、消费税概述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熟悉消费税的特点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了解消费税的演变</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了解消费税的征税原则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了解消费税纳税义务人的规定，熟悉委托加工纳税人的规定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三、税目与税率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掌握消费税税目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熟悉消费税现行税率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掌握适用税率的特殊规定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掌握实行从量定额与从价定率计征办法的计税依据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了解销售数量的确定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掌握销售额的确定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掌握计税依据的特殊规定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五、应纳税额的一般计算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掌握从价定率计算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掌握从量定额计算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掌握从价定率与从量定额混合计算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六、自产自用应税消费品应纳税额的计算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掌握连续生产应税消费品的应纳税额计算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掌握连续用于其他方面的应纳税额计算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掌握组成计税价格的确定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掌握外购应税消费品已纳税款的扣除</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七、委托加工应税消费品应纳税额的计算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熟悉委托加工应税消费品的确定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掌握代收代缴税款的规定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掌握委托加工应税消费品组成计税价格的计算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掌握用委托加工收回的应税消费品连续生产应税消费品</w:t>
      </w:r>
      <w:r>
        <w:rPr>
          <w:rFonts w:ascii="仿宋" w:eastAsia="仿宋" w:hAnsi="仿宋" w:cs="仿宋" w:hint="eastAsia"/>
          <w:kern w:val="0"/>
          <w:sz w:val="30"/>
          <w:szCs w:val="30"/>
        </w:rPr>
        <w:t>计算征收消费税的规定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八、消费税征税环节的特殊规定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掌握金银首饰征收消费税的若干规定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熟悉卷烟批发环节征收消费税的规定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九、进口应税消费品应纳税额的计算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了解进口应税消费品的基本规定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掌握进口应税消费品组成计税价格的计算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十、出口应税消费品税收政策及管理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熟悉消费税退</w:t>
      </w:r>
      <w:r>
        <w:rPr>
          <w:rFonts w:ascii="仿宋" w:eastAsia="仿宋" w:hAnsi="仿宋" w:cs="仿宋" w:hint="eastAsia"/>
          <w:kern w:val="0"/>
          <w:sz w:val="30"/>
          <w:szCs w:val="30"/>
        </w:rPr>
        <w:t>(</w:t>
      </w:r>
      <w:r>
        <w:rPr>
          <w:rFonts w:ascii="仿宋" w:eastAsia="仿宋" w:hAnsi="仿宋" w:cs="仿宋" w:hint="eastAsia"/>
          <w:kern w:val="0"/>
          <w:sz w:val="30"/>
          <w:szCs w:val="30"/>
        </w:rPr>
        <w:t>免</w:t>
      </w:r>
      <w:r>
        <w:rPr>
          <w:rFonts w:ascii="仿宋" w:eastAsia="仿宋" w:hAnsi="仿宋" w:cs="仿宋" w:hint="eastAsia"/>
          <w:kern w:val="0"/>
          <w:sz w:val="30"/>
          <w:szCs w:val="30"/>
        </w:rPr>
        <w:t>)</w:t>
      </w:r>
      <w:r>
        <w:rPr>
          <w:rFonts w:ascii="仿宋" w:eastAsia="仿宋" w:hAnsi="仿宋" w:cs="仿宋" w:hint="eastAsia"/>
          <w:kern w:val="0"/>
          <w:sz w:val="30"/>
          <w:szCs w:val="30"/>
        </w:rPr>
        <w:t>税政策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了解消费税退</w:t>
      </w:r>
      <w:r>
        <w:rPr>
          <w:rFonts w:ascii="仿宋" w:eastAsia="仿宋" w:hAnsi="仿宋" w:cs="仿宋" w:hint="eastAsia"/>
          <w:kern w:val="0"/>
          <w:sz w:val="30"/>
          <w:szCs w:val="30"/>
        </w:rPr>
        <w:t>(</w:t>
      </w:r>
      <w:r>
        <w:rPr>
          <w:rFonts w:ascii="仿宋" w:eastAsia="仿宋" w:hAnsi="仿宋" w:cs="仿宋" w:hint="eastAsia"/>
          <w:kern w:val="0"/>
          <w:sz w:val="30"/>
          <w:szCs w:val="30"/>
        </w:rPr>
        <w:t>免税</w:t>
      </w:r>
      <w:r>
        <w:rPr>
          <w:rFonts w:ascii="仿宋" w:eastAsia="仿宋" w:hAnsi="仿宋" w:cs="仿宋" w:hint="eastAsia"/>
          <w:kern w:val="0"/>
          <w:sz w:val="30"/>
          <w:szCs w:val="30"/>
        </w:rPr>
        <w:t>)</w:t>
      </w:r>
      <w:r>
        <w:rPr>
          <w:rFonts w:ascii="仿宋" w:eastAsia="仿宋" w:hAnsi="仿宋" w:cs="仿宋" w:hint="eastAsia"/>
          <w:kern w:val="0"/>
          <w:sz w:val="30"/>
          <w:szCs w:val="30"/>
        </w:rPr>
        <w:t>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十一、申报与缴纳</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了解纳税义务发生时间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了解纳税地点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熟悉纳税环节</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了解纳税期限</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熟悉报缴税款的方法</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附加税与烟叶税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一、城市维护建设税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掌握城市维护建设税的基本规定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二、教育费附加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了解教育费附加的征收范围及计征依据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了解教育费附加的计征比率与计算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熟悉教育费附加的减免规定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三、烟叶税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了解烟叶税的计税依据及征收范围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熟悉烟叶税的计算及征收管理</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资源税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一、资源税概述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了解资源税的立法原则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二、纳税人与扣缴义务人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了解纳税人与扣缴义务人的规定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三、税目与税率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掌握征税范围的具体规定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熟悉资源税税目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了解资源税税率适用的规定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四、计税依据和应纳税额的计算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掌握计税依据的一般规定和特殊规定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掌握减征、免征基本规定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了解原油、天然气税收优惠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了解煤炭税收优惠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了解水资源税收优惠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了解纳税义务发生时间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了解纳税地点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了解纳税期限</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熟悉代扣代缴的规定</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车辆购置税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一、车辆购置税概述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了解车辆购置税的作用</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熟悉车辆购置税应税行为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了解车辆购置税征税区域</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熟悉车辆购置税纳税人的具体范围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三、征税对象和征税范围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了解车辆购置税的征税对象</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熟悉车辆购置税的征税范围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四、税率与计税依据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熟悉购买自用应税车辆计税依据的确定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熟悉进口自用应税车辆计税依据的确定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熟悉以最低计税价格为计税依据的确定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了解税收优惠的具体规定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了解车辆购置税的退税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掌握购买自用应税车辆应纳税额的计算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熟悉进口自用应税车辆应纳税额的计算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熟悉其他方式取得自用应税车辆应纳税额的计算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熟悉特殊情形自用应税车辆应纳税额的计算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七、申报与缴纳</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了解车辆购置税的纳税环节</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了解车辆购置税的纳税地点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了解车辆购置税的纳税期限</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熟悉缴税管理的规定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熟悉完税、免税证明</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土地增值税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一、土地增值税概述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了解土地增值税的立法原则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二、征税范围、纳税人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掌握土地增值税的征税范围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熟悉土地增值税的纳税人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熟悉土地增值税的税率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掌握收入额的确定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掌握扣除项目的金额</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掌握评估价格办法及有关规定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掌握转让土地使用权和出售新建房及配套设施应纳税额的计算方法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掌握出售旧房应纳税额的计算方法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熟悉特殊售房方式应纳税额的计算方法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掌握一般减免税的规定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熟悉特殊减免税的规定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熟悉申报纳税的程序</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熟悉纳税时间和缴纳方法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熟悉纳税的地点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熟悉相关单位的责任与义务</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掌握房地产开发项目土地增值税的清算管理</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关税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一、关税概述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了解关税的起源和发展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熟悉关税的分类</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二、纳税人及征税对象</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了解关税纳税义务人规定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了解关税征税对象</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三、税率的适用</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了解关税税则制</w:t>
      </w:r>
      <w:r>
        <w:rPr>
          <w:rFonts w:ascii="仿宋" w:eastAsia="仿宋" w:hAnsi="仿宋" w:cs="仿宋" w:hint="eastAsia"/>
          <w:kern w:val="0"/>
          <w:sz w:val="30"/>
          <w:szCs w:val="30"/>
        </w:rPr>
        <w:t>度</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了解进口关税税率规定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了解出口关税税率规定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了解进出口关税的税率适用</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四、完税价格</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掌握关税的完税价格</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掌握对实付或应付价格的调整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熟悉特殊进口货物的完税价格</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了解进口货物相关费用核定的规定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了解出口货物的完税价格</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熟悉法定减免税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熟悉特定减免税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了解临时减免税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熟悉从价税应纳税额的计算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了解从量税应纳税额的计算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了解复合税应纳税额的计算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了解滑准税应纳税额的计算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了解关税缴纳</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了解关税的强制执行</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了解关税退还</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熟悉关税补征和追征</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了解关税纳税争议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了解海关企业分类管理</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环境保护税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一、环保税概述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熟悉环保税的起源、发展。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二、纳税人及征税对象</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掌握环保税纳税义务人规定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掌握环保税征税对象</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三、税目及税率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熟悉环保税的税目及税率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掌握环保税计税依据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熟悉环保税应纳税额计算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掌握环保税免税规定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掌握环保税减征规定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熟悉环保税征收管理机关及监测机构</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掌握纳税义务发生时间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掌握纳税地点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掌握纳税期限</w:t>
      </w: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845B34">
      <w:pPr>
        <w:widowControl/>
        <w:rPr>
          <w:rFonts w:ascii="仿宋" w:eastAsia="仿宋" w:hAnsi="仿宋" w:cs="仿宋"/>
          <w:b/>
          <w:bCs/>
          <w:kern w:val="0"/>
          <w:sz w:val="30"/>
          <w:szCs w:val="30"/>
        </w:rPr>
      </w:pPr>
      <w:r>
        <w:rPr>
          <w:rFonts w:ascii="仿宋" w:eastAsia="仿宋" w:hAnsi="仿宋" w:cs="仿宋" w:hint="eastAsia"/>
          <w:kern w:val="0"/>
          <w:sz w:val="30"/>
          <w:szCs w:val="30"/>
        </w:rPr>
        <w:lastRenderedPageBreak/>
        <w:t>附件</w:t>
      </w:r>
      <w:r>
        <w:rPr>
          <w:rFonts w:ascii="仿宋" w:eastAsia="仿宋" w:hAnsi="仿宋" w:cs="仿宋" w:hint="eastAsia"/>
          <w:kern w:val="0"/>
          <w:sz w:val="30"/>
          <w:szCs w:val="30"/>
        </w:rPr>
        <w:t>2</w:t>
      </w:r>
    </w:p>
    <w:p w:rsidR="00086B67" w:rsidRDefault="00845B34">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《税法（Ⅱ）》考试大纲</w:t>
      </w:r>
    </w:p>
    <w:p w:rsidR="00086B67" w:rsidRDefault="00845B34">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(2019</w:t>
      </w:r>
      <w:r>
        <w:rPr>
          <w:rFonts w:ascii="仿宋" w:eastAsia="仿宋" w:hAnsi="仿宋" w:cs="仿宋" w:hint="eastAsia"/>
          <w:b/>
          <w:bCs/>
          <w:kern w:val="0"/>
          <w:sz w:val="30"/>
          <w:szCs w:val="30"/>
        </w:rPr>
        <w:t>年度</w:t>
      </w:r>
      <w:r>
        <w:rPr>
          <w:rFonts w:ascii="仿宋" w:eastAsia="仿宋" w:hAnsi="仿宋" w:cs="仿宋" w:hint="eastAsia"/>
          <w:b/>
          <w:bCs/>
          <w:kern w:val="0"/>
          <w:sz w:val="30"/>
          <w:szCs w:val="30"/>
        </w:rPr>
        <w:t>)</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本科目考试内容涉及的政策法规截止到</w:t>
      </w:r>
      <w:r>
        <w:rPr>
          <w:rFonts w:ascii="仿宋" w:eastAsia="仿宋" w:hAnsi="仿宋" w:cs="仿宋" w:hint="eastAsia"/>
          <w:kern w:val="0"/>
          <w:sz w:val="30"/>
          <w:szCs w:val="30"/>
        </w:rPr>
        <w:t>2019</w:t>
      </w:r>
      <w:r>
        <w:rPr>
          <w:rFonts w:ascii="仿宋" w:eastAsia="仿宋" w:hAnsi="仿宋" w:cs="仿宋" w:hint="eastAsia"/>
          <w:kern w:val="0"/>
          <w:sz w:val="30"/>
          <w:szCs w:val="30"/>
        </w:rPr>
        <w:t>年度</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日前发布的税收政策。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主要修订内容：</w:t>
      </w:r>
      <w:r>
        <w:rPr>
          <w:rFonts w:ascii="仿宋" w:eastAsia="仿宋" w:hAnsi="仿宋" w:cs="仿宋" w:hint="eastAsia"/>
          <w:kern w:val="0"/>
          <w:sz w:val="30"/>
          <w:szCs w:val="30"/>
        </w:rPr>
        <w:t>1.</w:t>
      </w:r>
      <w:r>
        <w:rPr>
          <w:rFonts w:ascii="仿宋" w:eastAsia="仿宋" w:hAnsi="仿宋" w:cs="仿宋" w:hint="eastAsia"/>
          <w:kern w:val="0"/>
          <w:sz w:val="30"/>
          <w:szCs w:val="30"/>
        </w:rPr>
        <w:t>除第二章个人所得税、第九章耕地占用税、第十章船舶吨税外，其他税种新出台的法规较少，总体修改的内容变化不大。</w:t>
      </w:r>
      <w:r>
        <w:rPr>
          <w:rFonts w:ascii="仿宋" w:eastAsia="仿宋" w:hAnsi="仿宋" w:cs="仿宋" w:hint="eastAsia"/>
          <w:kern w:val="0"/>
          <w:sz w:val="30"/>
          <w:szCs w:val="30"/>
        </w:rPr>
        <w:t>2.</w:t>
      </w:r>
      <w:r>
        <w:rPr>
          <w:rFonts w:ascii="仿宋" w:eastAsia="仿宋" w:hAnsi="仿宋" w:cs="仿宋" w:hint="eastAsia"/>
          <w:kern w:val="0"/>
          <w:sz w:val="30"/>
          <w:szCs w:val="30"/>
        </w:rPr>
        <w:t>个人所得税由原来的分类征收，改革为当前的综合与分类相结合的征收模式，内容变化较多。一是税率的变化；二是工资薪金所得、劳务报酬所得、稿酬所得、特许权使用费所得由原来的按次或按月征收，改为当前的按年计征的变化；三是扩大了扣除范围，增加了专项扣除和专项附加扣除的变化；四是增加了平时预缴和年终汇算清缴的变化。</w:t>
      </w:r>
      <w:r>
        <w:rPr>
          <w:rFonts w:ascii="仿宋" w:eastAsia="仿宋" w:hAnsi="仿宋" w:cs="仿宋" w:hint="eastAsia"/>
          <w:kern w:val="0"/>
          <w:sz w:val="30"/>
          <w:szCs w:val="30"/>
        </w:rPr>
        <w:t>3.</w:t>
      </w:r>
      <w:r>
        <w:rPr>
          <w:rFonts w:ascii="仿宋" w:eastAsia="仿宋" w:hAnsi="仿宋" w:cs="仿宋" w:hint="eastAsia"/>
          <w:kern w:val="0"/>
          <w:sz w:val="30"/>
          <w:szCs w:val="30"/>
        </w:rPr>
        <w:t>耕地占用税、船舶吨税由原来的暂行条例上升为当前的耕地占用税法、船舶吨税法，相关</w:t>
      </w:r>
      <w:r>
        <w:rPr>
          <w:rFonts w:ascii="仿宋" w:eastAsia="仿宋" w:hAnsi="仿宋" w:cs="仿宋" w:hint="eastAsia"/>
          <w:kern w:val="0"/>
          <w:sz w:val="30"/>
          <w:szCs w:val="30"/>
        </w:rPr>
        <w:t>内容有所变化，修改时也作相应调整。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b/>
          <w:bCs/>
          <w:kern w:val="0"/>
          <w:sz w:val="30"/>
          <w:szCs w:val="30"/>
        </w:rPr>
        <w:t>第一章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企业所得税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熟悉企业所得税的计税原理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了解各国企业所得税的一般性做法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熟悉我国企业所得税的制度演变</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了解我国企业所得税的作用</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二、纳税义务人、征税对象与税率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熟悉纳税人的主要类型</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熟悉企业所得税的征税对象及所得来源地的确定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掌握基本税率的规定，低税率的适用范围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三、应纳税所得额的计算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掌握应税收入总额的确定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掌握不征税收入、免税收入的内容和企业接收政府和股东划入资产的税务处理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熟悉企业接收政府划</w:t>
      </w:r>
      <w:r>
        <w:rPr>
          <w:rFonts w:ascii="仿宋" w:eastAsia="仿宋" w:hAnsi="仿宋" w:cs="仿宋" w:hint="eastAsia"/>
          <w:kern w:val="0"/>
          <w:sz w:val="30"/>
          <w:szCs w:val="30"/>
        </w:rPr>
        <w:t>入资产的企业所得税处理，企业接收股东划入资产的企业所得税处理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掌握扣除项目的原则、范围和标准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掌握不得扣除的项目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掌握亏损弥补的规定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四、资产的税务处理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熟悉生物资产的税务处理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掌握无形资产的税务处理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掌握长期待摊费用的税务处理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熟悉存货的税务处理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掌握投资资产的税务处理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掌握税法规定与会计规定差异的处理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五、资产损失税前扣除的所得税处理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掌握资产损失扣除的政策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掌握资产损失税前扣除管理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六、企业重组的所得税处理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掌握企业重组一般性税务处理的方法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掌握企业重组特殊性税务处理的方法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掌握股权、资产划转的所得税处理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七、房地产开发经营业务的所得税处理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掌握房地产开发经营业务收入的税务处理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掌握房地产开发经营业务成本、费用扣除的税务处理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掌握房地产开发经营业务计税成本的核算方法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掌握房地产开发经营业务特定事项的税务处理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掌握免税收入的规定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掌握减征与免征优惠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掌握高新企业的优惠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掌握小型微利企业的优惠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掌握加计扣除的优惠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掌握创投企业的优惠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掌握加速折旧的优惠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掌握减计收入的优惠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掌握税额抵免的优惠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熟悉民族自治地方的优惠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掌握非居民企业的优惠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十二</w:t>
      </w:r>
      <w:r>
        <w:rPr>
          <w:rFonts w:ascii="仿宋" w:eastAsia="仿宋" w:hAnsi="仿宋" w:cs="仿宋" w:hint="eastAsia"/>
          <w:kern w:val="0"/>
          <w:sz w:val="30"/>
          <w:szCs w:val="30"/>
        </w:rPr>
        <w:t>)</w:t>
      </w:r>
      <w:r>
        <w:rPr>
          <w:rFonts w:ascii="仿宋" w:eastAsia="仿宋" w:hAnsi="仿宋" w:cs="仿宋" w:hint="eastAsia"/>
          <w:kern w:val="0"/>
          <w:sz w:val="30"/>
          <w:szCs w:val="30"/>
        </w:rPr>
        <w:t>掌握促进节能服务产业发展的优惠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十三</w:t>
      </w:r>
      <w:r>
        <w:rPr>
          <w:rFonts w:ascii="仿宋" w:eastAsia="仿宋" w:hAnsi="仿宋" w:cs="仿宋" w:hint="eastAsia"/>
          <w:kern w:val="0"/>
          <w:sz w:val="30"/>
          <w:szCs w:val="30"/>
        </w:rPr>
        <w:t>)</w:t>
      </w:r>
      <w:r>
        <w:rPr>
          <w:rFonts w:ascii="仿宋" w:eastAsia="仿宋" w:hAnsi="仿宋" w:cs="仿宋" w:hint="eastAsia"/>
          <w:kern w:val="0"/>
          <w:sz w:val="30"/>
          <w:szCs w:val="30"/>
        </w:rPr>
        <w:t>掌握其他有关行业的优惠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掌握居民企业应纳税额的计算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掌握境外所得抵扣税额的计算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掌握居民企业核定征收应纳税额的计算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掌握非居民企业应纳税额的计算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掌握非居民企业所得税核定征收办法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掌握外国企业常驻代表机构税收管理，主要把握“收入额”和“应纳税额”的计算公式</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掌握企业转让上市公司限售股有关所得税问题</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十、源泉扣缴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熟悉扣缴义务人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掌握扣缴方法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掌握税源管理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掌握股权转让所得的管理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熟悉后续管理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熟悉法律责任</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熟悉非居民承包工程作业和提供劳务的税务管理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熟悉非居民企业派遣人员在中国境内提供劳务征收企业所得税的规定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熟悉非居民企业从事国际运输业务税收管理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掌握非居民企业间接转让财产企业所得税处理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十二</w:t>
      </w:r>
      <w:r>
        <w:rPr>
          <w:rFonts w:ascii="仿宋" w:eastAsia="仿宋" w:hAnsi="仿宋" w:cs="仿宋" w:hint="eastAsia"/>
          <w:kern w:val="0"/>
          <w:sz w:val="30"/>
          <w:szCs w:val="30"/>
        </w:rPr>
        <w:t>)</w:t>
      </w:r>
      <w:r>
        <w:rPr>
          <w:rFonts w:ascii="仿宋" w:eastAsia="仿宋" w:hAnsi="仿宋" w:cs="仿宋" w:hint="eastAsia"/>
          <w:kern w:val="0"/>
          <w:sz w:val="30"/>
          <w:szCs w:val="30"/>
        </w:rPr>
        <w:t>熟悉香港市场投资者通过沪港通投资上海证券交易所上市</w:t>
      </w:r>
      <w:r>
        <w:rPr>
          <w:rFonts w:ascii="仿宋" w:eastAsia="仿宋" w:hAnsi="仿宋" w:cs="仿宋" w:hint="eastAsia"/>
          <w:kern w:val="0"/>
          <w:sz w:val="30"/>
          <w:szCs w:val="30"/>
        </w:rPr>
        <w:t>A</w:t>
      </w:r>
      <w:r>
        <w:rPr>
          <w:rFonts w:ascii="仿宋" w:eastAsia="仿宋" w:hAnsi="仿宋" w:cs="仿宋" w:hint="eastAsia"/>
          <w:kern w:val="0"/>
          <w:sz w:val="30"/>
          <w:szCs w:val="30"/>
        </w:rPr>
        <w:t>股的所得税的规定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十一、特别纳税调整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熟悉特别纳税调整税务处理内容与管理内容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熟悉关联申报管理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掌握同期资料管理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掌握转让定价方法管理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熟悉转让定价调查及调整管理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掌握预约定价安排管理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熟悉成本分摊协议管理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熟悉受控外国企业管理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掌握资本弱化管理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掌握一般反避税管理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熟悉相应调整及国际磋商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十二</w:t>
      </w:r>
      <w:r>
        <w:rPr>
          <w:rFonts w:ascii="仿宋" w:eastAsia="仿宋" w:hAnsi="仿宋" w:cs="仿宋" w:hint="eastAsia"/>
          <w:kern w:val="0"/>
          <w:sz w:val="30"/>
          <w:szCs w:val="30"/>
        </w:rPr>
        <w:t>)</w:t>
      </w:r>
      <w:r>
        <w:rPr>
          <w:rFonts w:ascii="仿宋" w:eastAsia="仿宋" w:hAnsi="仿宋" w:cs="仿宋" w:hint="eastAsia"/>
          <w:kern w:val="0"/>
          <w:sz w:val="30"/>
          <w:szCs w:val="30"/>
        </w:rPr>
        <w:t>熟悉法律责任</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十三</w:t>
      </w:r>
      <w:r>
        <w:rPr>
          <w:rFonts w:ascii="仿宋" w:eastAsia="仿宋" w:hAnsi="仿宋" w:cs="仿宋" w:hint="eastAsia"/>
          <w:kern w:val="0"/>
          <w:sz w:val="30"/>
          <w:szCs w:val="30"/>
        </w:rPr>
        <w:t>)</w:t>
      </w:r>
      <w:r>
        <w:rPr>
          <w:rFonts w:ascii="仿宋" w:eastAsia="仿宋" w:hAnsi="仿宋" w:cs="仿宋" w:hint="eastAsia"/>
          <w:kern w:val="0"/>
          <w:sz w:val="30"/>
          <w:szCs w:val="30"/>
        </w:rPr>
        <w:t>熟悉特别纳税调整监控管理规定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十二、征收管理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熟悉纳税地点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熟悉纳税期限</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掌握纳税申报</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掌握跨地区经营汇总纳税企业所得税征收管理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熟悉合伙企业所得税的征收管理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掌握境外注册中资控股企业所得税管理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熟悉企业所得税年度纳税申报口径问题</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熟悉非居民企业所得税管理若干问题</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掌握企业政策性搬迁所得税管理办法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熟悉居民企业报告境外投资和所得信息的管理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熟悉企业所得税年度纳税申报主要报表的填列方法</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个人所得税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了解个人所得税的特点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了解个人所得税的立法原则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二、征税对象</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掌握综合所得的内容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掌握经营所得的内容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掌握利息、股息、红利所得的内容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掌握财产租赁所得的内容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掌握财产转让所得的内容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掌握偶然所得的内容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三、纳税人、税率与应纳税所得额的确定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掌握居民个人和非居民个人的判定标准，掌握居民个人和非居民个人的纳税义务范围，熟悉所得来源的确定，熟悉扣缴义务人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掌握适用税率的具体规定，掌握预征率的具体规定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掌握应纳税所得额的一般规定，掌握应纳税所得额的特殊规定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四、减免税优惠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掌握免税的项目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掌握减税的项目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熟悉暂免征税的项目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熟悉纳税人享受个人所得税优惠政策时的审批原则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掌握综合所得的计税方法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掌握经营所得的计税方法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掌握利息、股息、红利所得的计税方法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掌握财产租赁所得的计税方法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掌握财产转让所得的计税方法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掌握偶然所得的计税方法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掌握特殊情形下个人所得税的计税方法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熟悉源泉扣缴的纳税申报方法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掌握自行纳税申报的方法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熟悉自然人纳税人识别号的确定方法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熟悉股权转让所得征收个人所得税管理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熟悉个人财产对外转移提交税收证明或完税证明的规定</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国际税收</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熟悉国际税收内容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熟悉国际税收原则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熟悉国际税法原则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二、税收管辖权</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掌握税收管辖权相关规定和分类方法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掌握约束税收管辖权的国际惯例</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掌握国际税收抵免制度</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三、国际税收协定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熟悉国际税收协定内容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了解国际税收协定范本《</w:t>
      </w:r>
      <w:r>
        <w:rPr>
          <w:rFonts w:ascii="仿宋" w:eastAsia="仿宋" w:hAnsi="仿宋" w:cs="仿宋" w:hint="eastAsia"/>
          <w:kern w:val="0"/>
          <w:sz w:val="30"/>
          <w:szCs w:val="30"/>
        </w:rPr>
        <w:t>OECD</w:t>
      </w:r>
      <w:r>
        <w:rPr>
          <w:rFonts w:ascii="仿宋" w:eastAsia="仿宋" w:hAnsi="仿宋" w:cs="仿宋" w:hint="eastAsia"/>
          <w:kern w:val="0"/>
          <w:sz w:val="30"/>
          <w:szCs w:val="30"/>
        </w:rPr>
        <w:t>税收协定范本》、《</w:t>
      </w:r>
      <w:r>
        <w:rPr>
          <w:rFonts w:ascii="仿宋" w:eastAsia="仿宋" w:hAnsi="仿宋" w:cs="仿宋" w:hint="eastAsia"/>
          <w:kern w:val="0"/>
          <w:sz w:val="30"/>
          <w:szCs w:val="30"/>
        </w:rPr>
        <w:t xml:space="preserve">UN </w:t>
      </w:r>
      <w:r>
        <w:rPr>
          <w:rFonts w:ascii="仿宋" w:eastAsia="仿宋" w:hAnsi="仿宋" w:cs="仿宋" w:hint="eastAsia"/>
          <w:kern w:val="0"/>
          <w:sz w:val="30"/>
          <w:szCs w:val="30"/>
        </w:rPr>
        <w:t>税收协定范本》</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熟悉我国对签署税收协定典型条款介绍</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熟悉国际税收协定管理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四、国际避税与反避税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熟悉主要国际避税地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掌握国际避税基本方法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掌握国际反避税基本方法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五、国际税收合作</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熟悉我国税收情报交换</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熟悉美国海外账户税收遵从法案</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w:t>
      </w:r>
      <w:r>
        <w:rPr>
          <w:rFonts w:ascii="仿宋" w:eastAsia="仿宋" w:hAnsi="仿宋" w:cs="仿宋" w:hint="eastAsia"/>
          <w:kern w:val="0"/>
          <w:sz w:val="30"/>
          <w:szCs w:val="30"/>
        </w:rPr>
        <w:t>OECD</w:t>
      </w:r>
      <w:r>
        <w:rPr>
          <w:rFonts w:ascii="仿宋" w:eastAsia="仿宋" w:hAnsi="仿宋" w:cs="仿宋" w:hint="eastAsia"/>
          <w:kern w:val="0"/>
          <w:sz w:val="30"/>
          <w:szCs w:val="30"/>
        </w:rPr>
        <w:t>金融账户涉税信息自动交换标准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熟悉税收征管互助</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熟悉国际税收合作新形式——税基侵蚀与利润转移（</w:t>
      </w:r>
      <w:r>
        <w:rPr>
          <w:rFonts w:ascii="仿宋" w:eastAsia="仿宋" w:hAnsi="仿宋" w:cs="仿宋" w:hint="eastAsia"/>
          <w:kern w:val="0"/>
          <w:sz w:val="30"/>
          <w:szCs w:val="30"/>
        </w:rPr>
        <w:t>BEPS</w:t>
      </w:r>
      <w:r>
        <w:rPr>
          <w:rFonts w:ascii="仿宋" w:eastAsia="仿宋" w:hAnsi="仿宋" w:cs="仿宋" w:hint="eastAsia"/>
          <w:kern w:val="0"/>
          <w:sz w:val="30"/>
          <w:szCs w:val="30"/>
        </w:rPr>
        <w:t>）行动计划</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印花税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了解印花税的立法原则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掌握印花税的征税范围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各类经济合同；产权转移书据；营业账簿和权利；许可证照等。</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掌握纳税人的具体规定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掌握税率：比例税率；定额税率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掌握减免税的基本优惠和其他优惠政策。</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掌握印花税的计税依据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掌握印花税应纳税额的计算方法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熟悉印花税的缴纳方法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熟悉外商投资企业和外国企业缴纳印花税的其他有关规定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了解印花税的税票</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熟悉纳税人缴纳印花税的责任和义务</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掌握印花税违章处理的规定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熟悉纳税环节和纳税地点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掌握印花税的管理</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房产税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了解房产税的立法原则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熟悉房产税的征税范围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熟悉房产税的纳税人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掌握房产税的税率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掌握减免税的基本规定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掌握减免税的特殊规定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掌握房产税的计税依据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计税依据设计的指导思想；计税依据的形式。</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掌握房产税应纳税额的计算方法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掌握纳税义务发生的时间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了解纳税的期限</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了解纳税的申报</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熟悉纳税的地点</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车船税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了解车船税的立法原则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二、征税范围、纳税人和适用税额</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熟悉车船税的征税范围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熟悉车船税的纳税人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了解车船税的税额</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熟悉法定减免税的规定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熟悉特定减免税的规定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四、应纳税额的计算与代收代缴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掌握车船税应纳税额的计算方法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了解保险机构的代收代缴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了解交通运输部门海事管理机构代为征收船舶车船税规定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熟悉车船税的纳税期限</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熟悉车船税的纳税地点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熟悉车船税的申报缴纳</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熟悉其他管理规定</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契税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了解契税的立法原则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掌握契税的征税范围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熟悉契税的纳税人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熟悉契税的税率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熟悉契税减免的基本规定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熟悉财政部规定的其他减免契税的项目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掌握契税的计税依据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掌握契税应纳税额的计算方法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熟悉契税纳税义务发生的时间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了解契税的纳税期限</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熟悉契税的纳税地点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了解契税的征收管理</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城镇土地使用税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了解城镇土地使用税的立法原则</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二、征税范围、纳税人和适用税额</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掌握城镇土地使用税的征税范围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熟悉城镇土地使用税的纳税</w:t>
      </w:r>
      <w:r>
        <w:rPr>
          <w:rFonts w:ascii="仿宋" w:eastAsia="仿宋" w:hAnsi="仿宋" w:cs="仿宋" w:hint="eastAsia"/>
          <w:kern w:val="0"/>
          <w:sz w:val="30"/>
          <w:szCs w:val="30"/>
        </w:rPr>
        <w:t>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了解城镇土地使用税的适用税额</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熟悉城镇土地使用税减免优惠的基本规定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熟悉城镇土地使用税减免优惠的特殊规定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掌握城镇土地使用税的计税依据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掌握城镇土地使用税应纳税额的计算方法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掌握城镇土地使用税纳税义务发生的时间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了解城镇土地使用税的纳税期限</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熟悉城镇土地使用税的纳税申报</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熟悉城镇土地使用税的纳税地点</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耕地占用税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了解耕地占用税的概念和特点。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二、纳税义务人和征税范围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熟悉耕地占用税的纳税义务人</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熟悉耕地占用税的征税范围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熟悉免征耕地占用税的规定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熟悉减征耕地占用税的规定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（一）掌握耕地占用税的计税依据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（二）掌握耕地占用税应纳税额的计算方法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lastRenderedPageBreak/>
        <w:t>（一）掌握耕地占用税纳税义务发生的时间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（二）熟悉耕地占用税的纳税地点</w:t>
      </w:r>
    </w:p>
    <w:p w:rsidR="00086B67" w:rsidRDefault="00845B34">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船舶吨税</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了解船舶吨税的概念及特点</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二、征税范围和税率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熟悉船舶吨税的范围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熟悉船舶吨税的税率</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三、税收优惠</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熟悉直接优惠的规定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熟悉延期优惠的规定</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四、应纳税额的计算</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熟悉船舶吨税应纳税额的计税依据</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掌握船舶吨税应纳税额的计算方法</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熟悉船舶吨税纳税义务发生的时间</w:t>
      </w:r>
    </w:p>
    <w:p w:rsidR="00086B67" w:rsidRDefault="00845B34">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熟悉船舶吨税的纳税申报和担保</w:t>
      </w:r>
    </w:p>
    <w:p w:rsidR="00086B67" w:rsidRDefault="00086B67">
      <w:pPr>
        <w:widowControl/>
        <w:jc w:val="left"/>
        <w:rPr>
          <w:rFonts w:ascii="仿宋" w:eastAsia="仿宋" w:hAnsi="仿宋" w:cs="仿宋"/>
          <w:b/>
          <w:bCs/>
          <w:kern w:val="0"/>
          <w:sz w:val="30"/>
          <w:szCs w:val="30"/>
        </w:rPr>
      </w:pPr>
    </w:p>
    <w:p w:rsidR="00086B67" w:rsidRDefault="00086B67">
      <w:pPr>
        <w:widowControl/>
        <w:jc w:val="left"/>
        <w:rPr>
          <w:rFonts w:ascii="仿宋" w:eastAsia="仿宋" w:hAnsi="仿宋" w:cs="仿宋"/>
          <w:b/>
          <w:bCs/>
          <w:kern w:val="0"/>
          <w:sz w:val="30"/>
          <w:szCs w:val="30"/>
        </w:rPr>
      </w:pPr>
    </w:p>
    <w:p w:rsidR="00086B67" w:rsidRDefault="00086B67">
      <w:pPr>
        <w:widowControl/>
        <w:jc w:val="left"/>
        <w:rPr>
          <w:rFonts w:ascii="仿宋" w:eastAsia="仿宋" w:hAnsi="仿宋" w:cs="仿宋"/>
          <w:b/>
          <w:bCs/>
          <w:kern w:val="0"/>
          <w:sz w:val="30"/>
          <w:szCs w:val="30"/>
        </w:rPr>
      </w:pPr>
    </w:p>
    <w:p w:rsidR="00086B67" w:rsidRDefault="00086B67">
      <w:pPr>
        <w:widowControl/>
        <w:jc w:val="left"/>
        <w:rPr>
          <w:rFonts w:ascii="仿宋" w:eastAsia="仿宋" w:hAnsi="仿宋" w:cs="仿宋"/>
          <w:b/>
          <w:bCs/>
          <w:kern w:val="0"/>
          <w:sz w:val="30"/>
          <w:szCs w:val="30"/>
        </w:rPr>
      </w:pPr>
    </w:p>
    <w:p w:rsidR="00086B67" w:rsidRDefault="00086B67">
      <w:pPr>
        <w:widowControl/>
        <w:jc w:val="left"/>
        <w:rPr>
          <w:rFonts w:ascii="仿宋" w:eastAsia="仿宋" w:hAnsi="仿宋" w:cs="仿宋"/>
          <w:b/>
          <w:bCs/>
          <w:kern w:val="0"/>
          <w:sz w:val="30"/>
          <w:szCs w:val="30"/>
        </w:rPr>
      </w:pPr>
    </w:p>
    <w:p w:rsidR="00086B67" w:rsidRDefault="00845B34">
      <w:pPr>
        <w:widowControl/>
        <w:jc w:val="left"/>
        <w:rPr>
          <w:rFonts w:ascii="仿宋" w:eastAsia="仿宋" w:hAnsi="仿宋" w:cs="仿宋"/>
          <w:kern w:val="0"/>
          <w:sz w:val="30"/>
          <w:szCs w:val="30"/>
        </w:rPr>
      </w:pPr>
      <w:r>
        <w:rPr>
          <w:rFonts w:ascii="仿宋" w:eastAsia="仿宋" w:hAnsi="仿宋" w:cs="仿宋" w:hint="eastAsia"/>
          <w:kern w:val="0"/>
          <w:sz w:val="30"/>
          <w:szCs w:val="30"/>
        </w:rPr>
        <w:lastRenderedPageBreak/>
        <w:t>附件</w:t>
      </w:r>
      <w:r>
        <w:rPr>
          <w:rFonts w:ascii="仿宋" w:eastAsia="仿宋" w:hAnsi="仿宋" w:cs="仿宋" w:hint="eastAsia"/>
          <w:kern w:val="0"/>
          <w:sz w:val="30"/>
          <w:szCs w:val="30"/>
        </w:rPr>
        <w:t>3</w:t>
      </w:r>
    </w:p>
    <w:p w:rsidR="00086B67" w:rsidRDefault="00845B34">
      <w:pPr>
        <w:widowControl/>
        <w:jc w:val="center"/>
        <w:rPr>
          <w:rFonts w:ascii="仿宋" w:eastAsia="仿宋" w:hAnsi="仿宋" w:cs="仿宋"/>
          <w:kern w:val="0"/>
          <w:sz w:val="30"/>
          <w:szCs w:val="30"/>
        </w:rPr>
      </w:pPr>
      <w:r>
        <w:rPr>
          <w:rFonts w:ascii="仿宋" w:eastAsia="仿宋" w:hAnsi="仿宋" w:cs="仿宋" w:hint="eastAsia"/>
          <w:b/>
          <w:bCs/>
          <w:kern w:val="0"/>
          <w:sz w:val="30"/>
          <w:szCs w:val="30"/>
        </w:rPr>
        <w:t>《涉税服务相关法律》考试大纲</w:t>
      </w:r>
    </w:p>
    <w:p w:rsidR="00086B67" w:rsidRDefault="00845B34">
      <w:pPr>
        <w:widowControl/>
        <w:jc w:val="center"/>
        <w:rPr>
          <w:rFonts w:ascii="仿宋" w:eastAsia="仿宋" w:hAnsi="仿宋" w:cs="仿宋"/>
          <w:kern w:val="0"/>
          <w:sz w:val="30"/>
          <w:szCs w:val="30"/>
        </w:rPr>
      </w:pPr>
      <w:r>
        <w:rPr>
          <w:rFonts w:ascii="仿宋" w:eastAsia="仿宋" w:hAnsi="仿宋" w:cs="仿宋" w:hint="eastAsia"/>
          <w:b/>
          <w:bCs/>
          <w:kern w:val="0"/>
          <w:sz w:val="30"/>
          <w:szCs w:val="30"/>
        </w:rPr>
        <w:t>（</w:t>
      </w:r>
      <w:r>
        <w:rPr>
          <w:rFonts w:ascii="仿宋" w:eastAsia="仿宋" w:hAnsi="仿宋" w:cs="仿宋" w:hint="eastAsia"/>
          <w:b/>
          <w:bCs/>
          <w:kern w:val="0"/>
          <w:sz w:val="30"/>
          <w:szCs w:val="30"/>
        </w:rPr>
        <w:t>2019</w:t>
      </w:r>
      <w:r>
        <w:rPr>
          <w:rFonts w:ascii="仿宋" w:eastAsia="仿宋" w:hAnsi="仿宋" w:cs="仿宋" w:hint="eastAsia"/>
          <w:b/>
          <w:bCs/>
          <w:kern w:val="0"/>
          <w:sz w:val="30"/>
          <w:szCs w:val="30"/>
        </w:rPr>
        <w:t>年度）</w:t>
      </w:r>
    </w:p>
    <w:p w:rsidR="00086B67" w:rsidRDefault="00845B34">
      <w:pPr>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本科目考试内容涉及</w:t>
      </w:r>
      <w:r>
        <w:rPr>
          <w:rFonts w:ascii="仿宋" w:eastAsia="仿宋" w:hAnsi="仿宋" w:cs="仿宋" w:hint="eastAsia"/>
          <w:kern w:val="0"/>
          <w:sz w:val="30"/>
          <w:szCs w:val="30"/>
        </w:rPr>
        <w:t>2019</w:t>
      </w:r>
      <w:r>
        <w:rPr>
          <w:rFonts w:ascii="仿宋" w:eastAsia="仿宋" w:hAnsi="仿宋" w:cs="仿宋" w:hint="eastAsia"/>
          <w:kern w:val="0"/>
          <w:sz w:val="30"/>
          <w:szCs w:val="30"/>
        </w:rPr>
        <w:t>年</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日前颁布的相关法律法规及司法解释。</w:t>
      </w:r>
    </w:p>
    <w:p w:rsidR="00086B67" w:rsidRDefault="00845B34">
      <w:pPr>
        <w:spacing w:line="360" w:lineRule="auto"/>
        <w:ind w:firstLineChars="200" w:firstLine="600"/>
        <w:jc w:val="left"/>
        <w:rPr>
          <w:rFonts w:ascii="仿宋" w:eastAsia="仿宋" w:hAnsi="仿宋" w:cs="仿宋"/>
          <w:b/>
          <w:bCs/>
          <w:kern w:val="0"/>
          <w:sz w:val="30"/>
          <w:szCs w:val="30"/>
        </w:rPr>
      </w:pPr>
      <w:r>
        <w:rPr>
          <w:rFonts w:ascii="仿宋" w:eastAsia="仿宋" w:hAnsi="仿宋" w:cs="仿宋" w:hint="eastAsia"/>
          <w:kern w:val="0"/>
          <w:sz w:val="30"/>
          <w:szCs w:val="30"/>
        </w:rPr>
        <w:t>2019</w:t>
      </w:r>
      <w:r>
        <w:rPr>
          <w:rFonts w:ascii="仿宋" w:eastAsia="仿宋" w:hAnsi="仿宋" w:cs="仿宋" w:hint="eastAsia"/>
          <w:kern w:val="0"/>
          <w:sz w:val="30"/>
          <w:szCs w:val="30"/>
        </w:rPr>
        <w:t>年考试大纲取消了原大纲第四篇，将相关法律制度的程序法与实体法统一成篇，各篇的内容都有增加和删减。特别是民商法律制度和刑事法律制度所在篇的内容有所调整。在民商法部分主要增加了“婚姻家庭与继承法律制度”“电子商务法律制度”“社会保险法律制度”内容。在第三篇除增加“</w:t>
      </w:r>
      <w:r>
        <w:rPr>
          <w:rFonts w:ascii="仿宋" w:eastAsia="仿宋" w:hAnsi="仿宋" w:cs="仿宋" w:hint="eastAsia"/>
          <w:bCs/>
          <w:kern w:val="0"/>
          <w:sz w:val="30"/>
          <w:szCs w:val="30"/>
        </w:rPr>
        <w:t>监察法律制度</w:t>
      </w:r>
      <w:r>
        <w:rPr>
          <w:rFonts w:ascii="仿宋" w:eastAsia="仿宋" w:hAnsi="仿宋" w:cs="仿宋" w:hint="eastAsia"/>
          <w:kern w:val="0"/>
          <w:sz w:val="30"/>
          <w:szCs w:val="30"/>
        </w:rPr>
        <w:t>”外，在刑法部分增加了“贿赂犯罪”内容，在刑诉法部分删除了“证据”“死刑复核程序”“审判监督程序”内容，增加了“刑事审判”“速裁程序”“</w:t>
      </w:r>
      <w:r>
        <w:rPr>
          <w:rFonts w:ascii="仿宋" w:eastAsia="仿宋" w:hAnsi="仿宋" w:cs="仿宋" w:hint="eastAsia"/>
          <w:sz w:val="30"/>
          <w:szCs w:val="30"/>
          <w:shd w:val="clear" w:color="auto" w:fill="FFFFFF"/>
        </w:rPr>
        <w:t>缺席审判程序</w:t>
      </w:r>
      <w:r>
        <w:rPr>
          <w:rFonts w:ascii="仿宋" w:eastAsia="仿宋" w:hAnsi="仿宋" w:cs="仿宋" w:hint="eastAsia"/>
          <w:kern w:val="0"/>
          <w:sz w:val="30"/>
          <w:szCs w:val="30"/>
        </w:rPr>
        <w:t>”内容。</w:t>
      </w:r>
    </w:p>
    <w:p w:rsidR="00086B67" w:rsidRDefault="00845B34">
      <w:pPr>
        <w:widowControl/>
        <w:jc w:val="center"/>
        <w:rPr>
          <w:rFonts w:ascii="仿宋" w:eastAsia="仿宋" w:hAnsi="仿宋" w:cs="仿宋"/>
          <w:kern w:val="0"/>
          <w:sz w:val="30"/>
          <w:szCs w:val="30"/>
        </w:rPr>
      </w:pPr>
      <w:r>
        <w:rPr>
          <w:rFonts w:ascii="仿宋" w:eastAsia="仿宋" w:hAnsi="仿宋" w:cs="仿宋" w:hint="eastAsia"/>
          <w:b/>
          <w:bCs/>
          <w:kern w:val="0"/>
          <w:sz w:val="30"/>
          <w:szCs w:val="30"/>
        </w:rPr>
        <w:t>第一篇</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行政法律制度</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行政法基本内容</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了解行</w:t>
      </w:r>
      <w:r>
        <w:rPr>
          <w:rFonts w:ascii="仿宋" w:eastAsia="仿宋" w:hAnsi="仿宋" w:cs="仿宋" w:hint="eastAsia"/>
          <w:kern w:val="0"/>
          <w:sz w:val="30"/>
          <w:szCs w:val="30"/>
        </w:rPr>
        <w:t>政法特征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掌握行政法的基本原则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熟悉行政法的渊源</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了解行政法律关系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二、行政主体</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熟悉行政主体的特征及行政职权</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掌握行政机关及其工作人员</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熟悉其他行使行政职权的组织</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三、行政行为</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熟悉行政行为内容</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了解抽象行政行为</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掌握具体行政行为</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掌握行政行为程序与行政程序法</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了解行政事实行为</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行政许可法律制度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一、行政许可法基础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了解行政许可的分类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熟悉《行政许可法》的基本原则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二、行政许可的设定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熟悉行政许可设定的有关程序制度及可设定事项</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掌握行政许可设定权划分</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三、行政许可的实施</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熟悉行政许可实施主体</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掌握行政许可实施程序</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熟悉行政许可实施的期限规定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熟悉行政许可实施的费用制度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四、行政许可的监督检查和法律责任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了解行政许可监督检查制度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掌握行政许可撤销和注销制度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熟悉违反《行政许可法》的法律责任</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行政处罚法律制度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一、行政处罚法基础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了解行政处罚的特征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熟悉行政处罚的基本原则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二、行政处罚的种类和设定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熟悉行政处罚的种类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掌握行政处罚的设定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三、行政处罚的实施主体、管辖及适用</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掌握行政处罚的实施主体</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掌握行政处罚的管辖和适用</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四、行政处罚程序</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掌握行政处罚决定程序</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掌握行政处罚执行程序</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熟悉行政执法机关移送涉嫌犯罪案件程序</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五、税务行政处罚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熟悉税务行政处罚的种类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熟悉税收违法行为及其处罚规定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税务行政处罚裁量权行使规则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掌握税务行政处罚听证程序</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税收违法案件审理程序</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行政强制法律制度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一、行政强制法基础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熟悉行政强制的</w:t>
      </w:r>
      <w:r>
        <w:rPr>
          <w:rFonts w:ascii="仿宋" w:eastAsia="仿宋" w:hAnsi="仿宋" w:cs="仿宋" w:hint="eastAsia"/>
          <w:kern w:val="0"/>
          <w:sz w:val="30"/>
          <w:szCs w:val="30"/>
        </w:rPr>
        <w:t>种类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掌握行政强制的基本原则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掌握行政强制的设定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二、行政强制措施的实施</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掌握行政强制措施实施的一般规定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掌握查封、扣押</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掌握冻结</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三、行政强制执行的实施</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掌握行政强制执行实施的一般规定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掌握金钱给付义务的执行</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了解代履行</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熟悉申请人民法院强制执行</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四、违反《行政强制法》的法律责任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熟悉行政机关违反《行政强制法》的法律责任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熟悉金融机构违反《行政强制法》的法律责任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了解人民法院违反《行政强制法》的法律责任</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行政复议法律制度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一、行政复议法基础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了解行政复议的特征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熟悉行政复议的基本原则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二、行政复议受案范围</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掌握行政复议受案范围</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熟悉行政复议中的抽象行政行为审查</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三、行政复议参加人</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掌握行政复议申请人</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掌握行政复议被申请人</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掌握行政复议第三人</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四、行政复议机关及行政复议管辖</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了解行政复议机关的范围</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掌握行政复议管辖</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五、行政复议程序</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掌握行政复议的申请和受理</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掌握行政复议的审理</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熟悉行政复议中止和终止</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掌握行政复议和解与调解</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掌握行政复议决定及其执行</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六、税务行政复议</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了解税务行政复议的特征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掌握税务行政复议的范围和管辖</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掌握税务行政复议申请人和被申请人</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掌握税务行政复议申请和受理</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掌握税务行政复议证据</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掌握税务行政复议审查和决定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掌握税务行政复议和解与调解</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行政诉讼法律制度</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一、行政诉讼法基础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了解行政诉讼的特征</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熟悉行政诉讼的基本原则</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掌握行政诉讼与行政复议的关系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二、行政诉讼受理范围</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了解受案范围的确定标准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掌握行政诉讼受理案件的范围及不受理的案件</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三、行政诉讼管辖</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掌握行政诉讼管辖的种类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四、行政诉讼参加人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掌握行政诉讼原告</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掌握行政诉讼被告</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掌握行政诉讼第三人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掌握行政诉讼代表人和代理人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五、行政诉讼证据</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熟悉行政诉讼证据的种类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掌握行政诉讼证据的收集、质证和审查认定</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掌握行政诉讼中的举证责任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六、行政诉讼程序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掌握行政诉讼的起诉和受理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掌握行政诉讼第一审程序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掌握行政诉讼第二审程序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了解行政诉讼审判监督程序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掌握行政赔偿诉讼</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七、行政诉讼的执行与非诉行政案件的执行</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了解行政诉讼的执行</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熟悉非诉行政案件的执行</w:t>
      </w:r>
    </w:p>
    <w:p w:rsidR="00086B67" w:rsidRDefault="00845B34">
      <w:pPr>
        <w:widowControl/>
        <w:jc w:val="center"/>
        <w:rPr>
          <w:rFonts w:ascii="仿宋" w:eastAsia="仿宋" w:hAnsi="仿宋" w:cs="仿宋"/>
          <w:kern w:val="0"/>
          <w:sz w:val="30"/>
          <w:szCs w:val="30"/>
        </w:rPr>
      </w:pPr>
      <w:r>
        <w:rPr>
          <w:rFonts w:ascii="仿宋" w:eastAsia="仿宋" w:hAnsi="仿宋" w:cs="仿宋" w:hint="eastAsia"/>
          <w:b/>
          <w:bCs/>
          <w:kern w:val="0"/>
          <w:sz w:val="30"/>
          <w:szCs w:val="30"/>
        </w:rPr>
        <w:t>第二篇</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民商法律制度</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民法基本内容</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一、民法基础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了解民法及其特征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掌握民法的基本原则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了解民事法律关系及其特征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掌握民事法律关系的要素</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掌握民事法律事实</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二、主体制度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掌握自然人的民事权利能力和民事行为能力</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熟悉法人的特征、分类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掌握法人的成立条件</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熟悉法人的权利能力和行为能力</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三、权利制度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掌握民事权利的分类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掌握民事权利的变动</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熟悉民事权利的保护</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四、行为制度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掌握法律行为的特征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掌握法律行为的分类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熟悉法律行为的形式</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掌握法律行为的成立要件和生效要件</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掌握法律行为的效力形态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掌握法律行为的条件附款和期限附款</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掌握代理的特征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熟悉代理的分类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掌握狭义无权代理和表见代理</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五、时效制度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了解诉讼时效的要素</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了解期间、期日适用范围</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掌握诉讼时效期间的类型</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掌握诉讼时效期间的起算、中止、中断和延长</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物权法律制度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一、物权法基础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熟悉物权的客体</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掌握物权的特征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熟悉物权的分类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掌握物权法的基本原则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掌握物权的效力</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掌握物权的变动</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二、所有权制度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熟悉所有权的特征、权能</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掌握所有权的取得和消灭</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掌握按份共有和共同共有</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熟悉建筑物区分所有权</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熟悉相邻权</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三、用益物权制度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掌握用益物权的特征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掌握各类用益物权的内容、效力及变动</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四、担保物权制度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掌握担保物权的特征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掌握各类担保物权的内容、效力及变动</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五、占有制度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掌握占有的分类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掌握占有的取得、变更与消灭</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掌握占有的效力</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债权法律制度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一、债法基础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掌握债的构成要素</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掌握债的发生原因</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熟悉债的分类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掌握债的效力</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掌握债的保全</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掌握债的担保</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掌握债的移转</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掌握债的消灭原因</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二、合同法律制度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了解合同与合同法</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熟悉合同的分类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掌握合同的订立</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掌握合同的效力</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掌握合同的变更和解除</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掌握合同的救济（违约责任）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熟悉合同的主要类型</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三、侵权法律制度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了解侵权行为与侵权责任法</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掌握侵权责任的归责原则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掌握侵权责任的构成要件</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掌握侵权责任的免责和减责事由</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熟悉各类型侵权的构成要件</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婚姻家庭与继承法律制度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一、婚姻家庭法律制度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熟悉婚姻家庭法基础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熟悉亲属制度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掌握婚姻制度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掌握家庭关系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二、继承法律制度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熟悉继承法基础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掌握法定继承</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掌握遗嘱继承</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掌握遗产的处理</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个人独资企业法律制度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一、个人独资企业法基础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了解个人独资企业的特征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熟悉个人独资企业与其他民事主体的区别</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二、个人独资企业法的基本规则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掌握个人独资企业的设立</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掌握个人独资企业的投资人及事务管理</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个人独资企业的解散和清算</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合伙企业法律制度</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一、合伙企业法基础</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熟悉合伙企业的特征</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熟悉合伙企业的一般法律规则</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二、合伙企业的种类</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掌握普通合伙企业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掌握有限合伙企业</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三、掌握合伙企业的解散与清算</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掌握合伙企业的解散</w:t>
      </w:r>
    </w:p>
    <w:p w:rsidR="00086B67" w:rsidRDefault="00845B34">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掌握合伙企业的清算</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公司法律制度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一、公司法基础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了解公司类型</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了解公司能力</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熟悉公司章程</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掌握公司资本</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熟悉公司法人地位</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二、公司设立</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掌握公司设立方式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掌握公司设立条件</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掌握公司设立责任</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三、公司股东</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掌握股东出资</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掌握股东权利</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掌握股东资格</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掌握股东诉讼</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四、公司运行</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掌握公司组织机构</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熟悉公司特殊形式</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熟悉股权与股份转让</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掌握公司董事、经理、高级管理人员</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了解公司财务会计</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熟悉公司变更、解散与清算</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破产法律制度</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一、破产法基础</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一</w:t>
      </w:r>
      <w:r>
        <w:rPr>
          <w:rFonts w:ascii="仿宋" w:eastAsia="仿宋" w:hAnsi="仿宋" w:cs="仿宋" w:hint="eastAsia"/>
          <w:sz w:val="30"/>
          <w:szCs w:val="30"/>
        </w:rPr>
        <w:t>)</w:t>
      </w:r>
      <w:r>
        <w:rPr>
          <w:rFonts w:ascii="仿宋" w:eastAsia="仿宋" w:hAnsi="仿宋" w:cs="仿宋" w:hint="eastAsia"/>
          <w:kern w:val="0"/>
          <w:sz w:val="30"/>
          <w:szCs w:val="30"/>
        </w:rPr>
        <w:t>熟悉破产原因</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了解破产案件管辖</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三</w:t>
      </w:r>
      <w:r>
        <w:rPr>
          <w:rFonts w:ascii="仿宋" w:eastAsia="仿宋" w:hAnsi="仿宋" w:cs="仿宋" w:hint="eastAsia"/>
          <w:sz w:val="30"/>
          <w:szCs w:val="30"/>
        </w:rPr>
        <w:t>)</w:t>
      </w:r>
      <w:r>
        <w:rPr>
          <w:rFonts w:ascii="仿宋" w:eastAsia="仿宋" w:hAnsi="仿宋" w:cs="仿宋" w:hint="eastAsia"/>
          <w:sz w:val="30"/>
          <w:szCs w:val="30"/>
        </w:rPr>
        <w:t>了解破产管理人</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二、破产申请与受理</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一</w:t>
      </w:r>
      <w:r>
        <w:rPr>
          <w:rFonts w:ascii="仿宋" w:eastAsia="仿宋" w:hAnsi="仿宋" w:cs="仿宋" w:hint="eastAsia"/>
          <w:sz w:val="30"/>
          <w:szCs w:val="30"/>
        </w:rPr>
        <w:t>)</w:t>
      </w:r>
      <w:r>
        <w:rPr>
          <w:rFonts w:ascii="仿宋" w:eastAsia="仿宋" w:hAnsi="仿宋" w:cs="仿宋" w:hint="eastAsia"/>
          <w:sz w:val="30"/>
          <w:szCs w:val="30"/>
        </w:rPr>
        <w:t>掌握破产案件申请</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熟悉破产申请的受理</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三、债权申报</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一</w:t>
      </w:r>
      <w:r>
        <w:rPr>
          <w:rFonts w:ascii="仿宋" w:eastAsia="仿宋" w:hAnsi="仿宋" w:cs="仿宋" w:hint="eastAsia"/>
          <w:sz w:val="30"/>
          <w:szCs w:val="30"/>
        </w:rPr>
        <w:t>)</w:t>
      </w:r>
      <w:r>
        <w:rPr>
          <w:rFonts w:ascii="仿宋" w:eastAsia="仿宋" w:hAnsi="仿宋" w:cs="仿宋" w:hint="eastAsia"/>
          <w:sz w:val="30"/>
          <w:szCs w:val="30"/>
        </w:rPr>
        <w:t>掌握债权申报</w:t>
      </w:r>
    </w:p>
    <w:p w:rsidR="00086B67" w:rsidRDefault="00845B34">
      <w:pPr>
        <w:spacing w:line="360" w:lineRule="auto"/>
        <w:ind w:firstLineChars="250" w:firstLine="75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熟悉债权人会议及债权人委员会</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四、债务人财产</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一</w:t>
      </w:r>
      <w:r>
        <w:rPr>
          <w:rFonts w:ascii="仿宋" w:eastAsia="仿宋" w:hAnsi="仿宋" w:cs="仿宋" w:hint="eastAsia"/>
          <w:sz w:val="30"/>
          <w:szCs w:val="30"/>
        </w:rPr>
        <w:t>)</w:t>
      </w:r>
      <w:r>
        <w:rPr>
          <w:rFonts w:ascii="仿宋" w:eastAsia="仿宋" w:hAnsi="仿宋" w:cs="仿宋" w:hint="eastAsia"/>
          <w:sz w:val="30"/>
          <w:szCs w:val="30"/>
        </w:rPr>
        <w:t>掌握债务人财产</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掌握追回权取回权抵销权</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五、重整与和解</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一</w:t>
      </w:r>
      <w:r>
        <w:rPr>
          <w:rFonts w:ascii="仿宋" w:eastAsia="仿宋" w:hAnsi="仿宋" w:cs="仿宋" w:hint="eastAsia"/>
          <w:sz w:val="30"/>
          <w:szCs w:val="30"/>
        </w:rPr>
        <w:t>)</w:t>
      </w:r>
      <w:r>
        <w:rPr>
          <w:rFonts w:ascii="仿宋" w:eastAsia="仿宋" w:hAnsi="仿宋" w:cs="仿宋" w:hint="eastAsia"/>
          <w:sz w:val="30"/>
          <w:szCs w:val="30"/>
        </w:rPr>
        <w:t>掌握重整程序</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熟悉和解程序</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六、破产宣告与破产清算</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一</w:t>
      </w:r>
      <w:r>
        <w:rPr>
          <w:rFonts w:ascii="仿宋" w:eastAsia="仿宋" w:hAnsi="仿宋" w:cs="仿宋" w:hint="eastAsia"/>
          <w:sz w:val="30"/>
          <w:szCs w:val="30"/>
        </w:rPr>
        <w:t>)</w:t>
      </w:r>
      <w:r>
        <w:rPr>
          <w:rFonts w:ascii="仿宋" w:eastAsia="仿宋" w:hAnsi="仿宋" w:cs="仿宋" w:hint="eastAsia"/>
          <w:sz w:val="30"/>
          <w:szCs w:val="30"/>
        </w:rPr>
        <w:t>掌握破产宣告</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掌握破产清算</w:t>
      </w:r>
    </w:p>
    <w:p w:rsidR="00086B67" w:rsidRDefault="00845B34">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三</w:t>
      </w:r>
      <w:r>
        <w:rPr>
          <w:rFonts w:ascii="仿宋" w:eastAsia="仿宋" w:hAnsi="仿宋" w:cs="仿宋" w:hint="eastAsia"/>
          <w:sz w:val="30"/>
          <w:szCs w:val="30"/>
        </w:rPr>
        <w:t>)</w:t>
      </w:r>
      <w:r>
        <w:rPr>
          <w:rFonts w:ascii="仿宋" w:eastAsia="仿宋" w:hAnsi="仿宋" w:cs="仿宋" w:hint="eastAsia"/>
          <w:sz w:val="30"/>
          <w:szCs w:val="30"/>
        </w:rPr>
        <w:t>了解破产终结</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电子商务法律制度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一、电子商务法基础</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了解电子商务法的特征</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熟悉我国电子商务法立法</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二、电子商务主体法律制度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掌握电子商务主体种类</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熟悉电子商务主体的认定</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三、电子商务法几项基本制度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掌握电子合同法律制度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掌握电子签名和电子认证法律制度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掌握电子支付法律制度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电子商务税收法律</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社会保险法律制度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一、社会保险法基础</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了解社会保险法的特征和功能</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熟悉社会保险法的基本原则</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掌握社会保险法律关系</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二、基本养老保险法律制度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掌握职工基本养老保险</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掌握公务员和参公管理工作人员养老保险</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掌握新型农村社会养老保险</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城镇居民社会养老保险</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三、医疗保险法律制度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掌握城镇职工基本医疗保险</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掌握新型农村合作医疗保险</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掌握城镇居民医疗保险</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四、工伤保险法律制度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了解工伤保险内容</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掌握工伤保险的基本规则</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五、失业保险</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了解失业保险内容</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掌握失业保险的基本规则</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六、生育保险</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了解生育保险内容</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掌握生育保险的一般规则</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民事诉讼法律制度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lastRenderedPageBreak/>
        <w:t>一、民事诉讼法基础</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了解民事诉讼及民事诉讼法</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掌握民事诉讼法的基本原则</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二、民事诉讼受案范围和管辖</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了解法院受理民事案件的范围</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掌握民事诉讼管辖的种类</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三、民事诉讼参加人</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熟悉民事诉</w:t>
      </w:r>
      <w:r>
        <w:rPr>
          <w:rFonts w:ascii="仿宋" w:eastAsia="仿宋" w:hAnsi="仿宋" w:cs="仿宋" w:hint="eastAsia"/>
          <w:kern w:val="0"/>
          <w:sz w:val="30"/>
          <w:szCs w:val="30"/>
        </w:rPr>
        <w:t>讼当事人的特征</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掌握共同诉讼</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熟悉代表人诉讼</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熟悉民事公益诉讼</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掌握第三人诉讼</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掌握诉讼代理人</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四、民事诉讼证据和证明</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熟悉民事诉讼证据的种类</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掌握民事诉讼证明</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五、民事诉讼程序</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掌握民事诉讼的起诉和受理</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掌握民事诉讼第一审程序</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掌握民事诉讼第二审程序</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熟悉民事诉讼再审程序</w:t>
      </w:r>
    </w:p>
    <w:p w:rsidR="00086B67" w:rsidRDefault="00086B67">
      <w:pPr>
        <w:widowControl/>
        <w:rPr>
          <w:rFonts w:ascii="仿宋" w:eastAsia="仿宋" w:hAnsi="仿宋" w:cs="仿宋"/>
          <w:b/>
          <w:bCs/>
          <w:kern w:val="0"/>
          <w:sz w:val="30"/>
          <w:szCs w:val="30"/>
        </w:rPr>
      </w:pPr>
    </w:p>
    <w:p w:rsidR="00086B67" w:rsidRDefault="00845B34">
      <w:pPr>
        <w:widowControl/>
        <w:jc w:val="center"/>
        <w:rPr>
          <w:rFonts w:ascii="仿宋" w:eastAsia="仿宋" w:hAnsi="仿宋" w:cs="仿宋"/>
          <w:kern w:val="0"/>
          <w:sz w:val="30"/>
          <w:szCs w:val="30"/>
        </w:rPr>
      </w:pPr>
      <w:r>
        <w:rPr>
          <w:rFonts w:ascii="仿宋" w:eastAsia="仿宋" w:hAnsi="仿宋" w:cs="仿宋" w:hint="eastAsia"/>
          <w:b/>
          <w:bCs/>
          <w:kern w:val="0"/>
          <w:sz w:val="30"/>
          <w:szCs w:val="30"/>
        </w:rPr>
        <w:lastRenderedPageBreak/>
        <w:t>第三</w:t>
      </w:r>
      <w:r>
        <w:rPr>
          <w:rFonts w:ascii="仿宋" w:eastAsia="仿宋" w:hAnsi="仿宋" w:cs="仿宋" w:hint="eastAsia"/>
          <w:b/>
          <w:kern w:val="0"/>
          <w:sz w:val="30"/>
          <w:szCs w:val="30"/>
        </w:rPr>
        <w:t>篇</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刑事监察法律制度</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刑事法律制度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一、刑法基础</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了解刑法解释和效力</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熟悉刑法基本原则</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熟悉追诉时效</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二、犯罪构成与犯罪形态</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熟悉犯罪构成</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了解犯罪形态</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三、刑罚种类与刑罚适用</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熟悉刑罚种类</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了解量刑原则和量刑情节</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掌握累犯、自首、立功</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掌握数罪并罚和缓刑</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掌握减刑和假释</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四、危害税收征管犯罪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掌握逃税罪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了解抗税罪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熟悉逃避追缴欠税罪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熟悉骗取出口退税罪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掌握虚开增值税专用发票或者虚开用于骗取出口退税、抵扣税款发票罪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熟悉伪造、出售伪造的增值税专用发票罪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了解非法出售增值税专用发票罪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熟悉非法购买增值税专用发票或者购买伪造的增值税专用发票罪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熟悉非法制造、出售非法制造的用于骗取出口退税、抵扣税款发票罪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了解非法制造、出售非法制造的发票罪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了解非法出售用于骗取出口退税、抵扣税款发票罪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十二</w:t>
      </w:r>
      <w:r>
        <w:rPr>
          <w:rFonts w:ascii="仿宋" w:eastAsia="仿宋" w:hAnsi="仿宋" w:cs="仿宋" w:hint="eastAsia"/>
          <w:kern w:val="0"/>
          <w:sz w:val="30"/>
          <w:szCs w:val="30"/>
        </w:rPr>
        <w:t>)</w:t>
      </w:r>
      <w:r>
        <w:rPr>
          <w:rFonts w:ascii="仿宋" w:eastAsia="仿宋" w:hAnsi="仿宋" w:cs="仿宋" w:hint="eastAsia"/>
          <w:kern w:val="0"/>
          <w:sz w:val="30"/>
          <w:szCs w:val="30"/>
        </w:rPr>
        <w:t>熟悉非法出售发票罪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十三</w:t>
      </w:r>
      <w:r>
        <w:rPr>
          <w:rFonts w:ascii="仿宋" w:eastAsia="仿宋" w:hAnsi="仿宋" w:cs="仿宋" w:hint="eastAsia"/>
          <w:kern w:val="0"/>
          <w:sz w:val="30"/>
          <w:szCs w:val="30"/>
        </w:rPr>
        <w:t>)</w:t>
      </w:r>
      <w:r>
        <w:rPr>
          <w:rFonts w:ascii="仿宋" w:eastAsia="仿宋" w:hAnsi="仿宋" w:cs="仿宋" w:hint="eastAsia"/>
          <w:kern w:val="0"/>
          <w:sz w:val="30"/>
          <w:szCs w:val="30"/>
        </w:rPr>
        <w:t>掌握虚开发票罪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十四</w:t>
      </w:r>
      <w:r>
        <w:rPr>
          <w:rFonts w:ascii="仿宋" w:eastAsia="仿宋" w:hAnsi="仿宋" w:cs="仿宋" w:hint="eastAsia"/>
          <w:kern w:val="0"/>
          <w:sz w:val="30"/>
          <w:szCs w:val="30"/>
        </w:rPr>
        <w:t>)</w:t>
      </w:r>
      <w:r>
        <w:rPr>
          <w:rFonts w:ascii="仿宋" w:eastAsia="仿宋" w:hAnsi="仿宋" w:cs="仿宋" w:hint="eastAsia"/>
          <w:kern w:val="0"/>
          <w:sz w:val="30"/>
          <w:szCs w:val="30"/>
        </w:rPr>
        <w:t>掌握持有伪造的发票罪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五、贿赂犯罪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熟悉行贿罪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熟悉受贿罪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了解介绍贿赂罪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六、渎职罪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熟悉徇私舞弊不移交刑事案件罪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熟悉徇私舞弊不征、少征税款罪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熟悉徇私舞弊发售发票、抵扣税款、出口退税罪</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了解违法提供出口退税凭证罪</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刑事诉讼法律制度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一、刑事诉讼法基础</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了解刑事诉讼</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掌握刑事诉讼当事人</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熟悉其他诉讼参与人</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二、辩护与代理</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掌握辩护</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熟悉代理</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三、强制措施</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熟悉拘传</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熟悉取保候审</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熟悉监视居住</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熟悉拘留</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熟悉逮捕</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了解强制措施的撤销、变更与解除</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四、立案、侦查、提起公诉</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了解立案</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熟悉侦查</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熟悉提起公诉</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五、刑事审判程序</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了解刑事审判</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掌握第一审程序</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熟悉第二审程序</w:t>
      </w:r>
    </w:p>
    <w:p w:rsidR="00086B67" w:rsidRDefault="00845B34">
      <w:pPr>
        <w:pStyle w:val="a6"/>
        <w:widowControl/>
        <w:spacing w:line="270" w:lineRule="atLeas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四</w:t>
      </w:r>
      <w:r>
        <w:rPr>
          <w:rFonts w:ascii="仿宋" w:eastAsia="仿宋" w:hAnsi="仿宋" w:cs="仿宋" w:hint="eastAsia"/>
          <w:sz w:val="30"/>
          <w:szCs w:val="30"/>
        </w:rPr>
        <w:t>)</w:t>
      </w:r>
      <w:r>
        <w:rPr>
          <w:rFonts w:ascii="仿宋" w:eastAsia="仿宋" w:hAnsi="仿宋" w:cs="仿宋" w:hint="eastAsia"/>
          <w:sz w:val="30"/>
          <w:szCs w:val="30"/>
        </w:rPr>
        <w:t>熟悉</w:t>
      </w:r>
      <w:r>
        <w:rPr>
          <w:rFonts w:ascii="仿宋" w:eastAsia="仿宋" w:hAnsi="仿宋" w:cs="仿宋" w:hint="eastAsia"/>
          <w:sz w:val="30"/>
          <w:szCs w:val="30"/>
          <w:shd w:val="clear" w:color="auto" w:fill="FFFFFF"/>
        </w:rPr>
        <w:t>缺席审判</w:t>
      </w:r>
      <w:r>
        <w:rPr>
          <w:rFonts w:ascii="仿宋" w:eastAsia="仿宋" w:hAnsi="仿宋" w:cs="仿宋" w:hint="eastAsia"/>
          <w:sz w:val="30"/>
          <w:szCs w:val="30"/>
        </w:rPr>
        <w:t>程序</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lastRenderedPageBreak/>
        <w:t>第二十章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监察法律制度</w:t>
      </w:r>
    </w:p>
    <w:p w:rsidR="00086B67" w:rsidRDefault="00845B34">
      <w:pPr>
        <w:widowControl/>
        <w:ind w:firstLine="588"/>
        <w:rPr>
          <w:rFonts w:ascii="仿宋" w:eastAsia="仿宋" w:hAnsi="仿宋" w:cs="仿宋"/>
          <w:kern w:val="0"/>
          <w:sz w:val="30"/>
          <w:szCs w:val="30"/>
        </w:rPr>
      </w:pPr>
      <w:r>
        <w:rPr>
          <w:rFonts w:ascii="仿宋" w:eastAsia="仿宋" w:hAnsi="仿宋" w:cs="仿宋" w:hint="eastAsia"/>
          <w:kern w:val="0"/>
          <w:sz w:val="30"/>
          <w:szCs w:val="30"/>
        </w:rPr>
        <w:t>一、监察法基础</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了解监察及监察法</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了解监察法与相关法律的关系</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二、监察机关和监察范围</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掌握监察机关</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掌握监察范围</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三、监察权限及监察程序</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掌握监察权限</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熟悉监察程序</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了解监察保障</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四、熟悉对监察机关和监察人员的监督</w:t>
      </w:r>
    </w:p>
    <w:p w:rsidR="00086B67" w:rsidRDefault="00086B67">
      <w:pPr>
        <w:widowControl/>
        <w:ind w:firstLine="419"/>
        <w:jc w:val="center"/>
        <w:rPr>
          <w:rFonts w:ascii="仿宋" w:eastAsia="仿宋" w:hAnsi="仿宋" w:cs="仿宋"/>
          <w:b/>
          <w:bCs/>
          <w:kern w:val="0"/>
          <w:sz w:val="30"/>
          <w:szCs w:val="30"/>
        </w:rPr>
      </w:pPr>
    </w:p>
    <w:p w:rsidR="00086B67" w:rsidRDefault="00086B67">
      <w:pPr>
        <w:widowControl/>
        <w:ind w:firstLine="419"/>
        <w:jc w:val="center"/>
        <w:rPr>
          <w:rFonts w:ascii="仿宋" w:eastAsia="仿宋" w:hAnsi="仿宋" w:cs="仿宋"/>
          <w:b/>
          <w:bCs/>
          <w:kern w:val="0"/>
          <w:sz w:val="30"/>
          <w:szCs w:val="30"/>
        </w:rPr>
      </w:pPr>
    </w:p>
    <w:p w:rsidR="00086B67" w:rsidRDefault="00086B67">
      <w:pPr>
        <w:widowControl/>
        <w:ind w:firstLine="419"/>
        <w:jc w:val="center"/>
        <w:rPr>
          <w:rFonts w:ascii="仿宋" w:eastAsia="仿宋" w:hAnsi="仿宋" w:cs="仿宋"/>
          <w:b/>
          <w:bCs/>
          <w:kern w:val="0"/>
          <w:sz w:val="30"/>
          <w:szCs w:val="30"/>
        </w:rPr>
      </w:pPr>
    </w:p>
    <w:p w:rsidR="00086B67" w:rsidRDefault="00086B67">
      <w:pPr>
        <w:widowControl/>
        <w:ind w:firstLine="419"/>
        <w:jc w:val="center"/>
        <w:rPr>
          <w:rFonts w:ascii="仿宋" w:eastAsia="仿宋" w:hAnsi="仿宋" w:cs="仿宋"/>
          <w:b/>
          <w:bCs/>
          <w:kern w:val="0"/>
          <w:sz w:val="30"/>
          <w:szCs w:val="30"/>
        </w:rPr>
      </w:pPr>
    </w:p>
    <w:p w:rsidR="00086B67" w:rsidRDefault="00086B67">
      <w:pPr>
        <w:widowControl/>
        <w:ind w:firstLine="419"/>
        <w:jc w:val="center"/>
        <w:rPr>
          <w:rFonts w:ascii="仿宋" w:eastAsia="仿宋" w:hAnsi="仿宋" w:cs="仿宋"/>
          <w:b/>
          <w:bCs/>
          <w:kern w:val="0"/>
          <w:sz w:val="30"/>
          <w:szCs w:val="30"/>
        </w:rPr>
      </w:pPr>
    </w:p>
    <w:p w:rsidR="00086B67" w:rsidRDefault="00086B67">
      <w:pPr>
        <w:widowControl/>
        <w:ind w:firstLine="419"/>
        <w:jc w:val="center"/>
        <w:rPr>
          <w:rFonts w:ascii="仿宋" w:eastAsia="仿宋" w:hAnsi="仿宋" w:cs="仿宋"/>
          <w:b/>
          <w:bCs/>
          <w:kern w:val="0"/>
          <w:sz w:val="30"/>
          <w:szCs w:val="30"/>
        </w:rPr>
      </w:pPr>
    </w:p>
    <w:p w:rsidR="00086B67" w:rsidRDefault="00086B67">
      <w:pPr>
        <w:widowControl/>
        <w:ind w:firstLine="419"/>
        <w:jc w:val="center"/>
        <w:rPr>
          <w:rFonts w:ascii="仿宋" w:eastAsia="仿宋" w:hAnsi="仿宋" w:cs="仿宋"/>
          <w:b/>
          <w:bCs/>
          <w:kern w:val="0"/>
          <w:sz w:val="30"/>
          <w:szCs w:val="30"/>
        </w:rPr>
      </w:pPr>
    </w:p>
    <w:p w:rsidR="00086B67" w:rsidRDefault="00086B67">
      <w:pPr>
        <w:widowControl/>
        <w:ind w:firstLine="419"/>
        <w:jc w:val="center"/>
        <w:rPr>
          <w:rFonts w:ascii="仿宋" w:eastAsia="仿宋" w:hAnsi="仿宋" w:cs="仿宋"/>
          <w:b/>
          <w:bCs/>
          <w:kern w:val="0"/>
          <w:sz w:val="30"/>
          <w:szCs w:val="30"/>
        </w:rPr>
      </w:pPr>
    </w:p>
    <w:p w:rsidR="00086B67" w:rsidRDefault="00086B67">
      <w:pPr>
        <w:widowControl/>
        <w:ind w:firstLine="419"/>
        <w:jc w:val="center"/>
        <w:rPr>
          <w:rFonts w:ascii="仿宋" w:eastAsia="仿宋" w:hAnsi="仿宋" w:cs="仿宋"/>
          <w:b/>
          <w:bCs/>
          <w:kern w:val="0"/>
          <w:sz w:val="30"/>
          <w:szCs w:val="30"/>
        </w:rPr>
      </w:pPr>
    </w:p>
    <w:p w:rsidR="00086B67" w:rsidRDefault="00086B67">
      <w:pPr>
        <w:widowControl/>
        <w:ind w:firstLine="419"/>
        <w:jc w:val="center"/>
        <w:rPr>
          <w:rFonts w:ascii="仿宋" w:eastAsia="仿宋" w:hAnsi="仿宋" w:cs="仿宋"/>
          <w:b/>
          <w:bCs/>
          <w:kern w:val="0"/>
          <w:sz w:val="30"/>
          <w:szCs w:val="30"/>
        </w:rPr>
      </w:pPr>
    </w:p>
    <w:p w:rsidR="00086B67" w:rsidRDefault="00845B34">
      <w:pPr>
        <w:widowControl/>
        <w:jc w:val="left"/>
        <w:rPr>
          <w:rFonts w:ascii="仿宋" w:eastAsia="仿宋" w:hAnsi="仿宋" w:cs="仿宋"/>
          <w:kern w:val="0"/>
          <w:sz w:val="30"/>
          <w:szCs w:val="30"/>
        </w:rPr>
      </w:pPr>
      <w:r>
        <w:rPr>
          <w:rFonts w:ascii="仿宋" w:eastAsia="仿宋" w:hAnsi="仿宋" w:cs="仿宋" w:hint="eastAsia"/>
          <w:kern w:val="0"/>
          <w:sz w:val="30"/>
          <w:szCs w:val="30"/>
        </w:rPr>
        <w:lastRenderedPageBreak/>
        <w:t>附件</w:t>
      </w:r>
      <w:r>
        <w:rPr>
          <w:rFonts w:ascii="仿宋" w:eastAsia="仿宋" w:hAnsi="仿宋" w:cs="仿宋" w:hint="eastAsia"/>
          <w:kern w:val="0"/>
          <w:sz w:val="30"/>
          <w:szCs w:val="30"/>
        </w:rPr>
        <w:t>4</w:t>
      </w:r>
    </w:p>
    <w:p w:rsidR="00086B67" w:rsidRDefault="00845B34">
      <w:pPr>
        <w:widowControl/>
        <w:ind w:firstLine="419"/>
        <w:jc w:val="center"/>
        <w:rPr>
          <w:rFonts w:ascii="仿宋" w:eastAsia="仿宋" w:hAnsi="仿宋" w:cs="仿宋"/>
          <w:kern w:val="0"/>
          <w:sz w:val="30"/>
          <w:szCs w:val="30"/>
        </w:rPr>
      </w:pPr>
      <w:r>
        <w:rPr>
          <w:rFonts w:ascii="仿宋" w:eastAsia="仿宋" w:hAnsi="仿宋" w:cs="仿宋" w:hint="eastAsia"/>
          <w:b/>
          <w:bCs/>
          <w:kern w:val="0"/>
          <w:sz w:val="30"/>
          <w:szCs w:val="30"/>
        </w:rPr>
        <w:t>《财务与会计》考试大纲</w:t>
      </w:r>
    </w:p>
    <w:p w:rsidR="00086B67" w:rsidRDefault="00845B34">
      <w:pPr>
        <w:widowControl/>
        <w:jc w:val="center"/>
        <w:rPr>
          <w:rFonts w:ascii="仿宋" w:eastAsia="仿宋" w:hAnsi="仿宋" w:cs="仿宋"/>
          <w:kern w:val="0"/>
          <w:sz w:val="30"/>
          <w:szCs w:val="30"/>
        </w:rPr>
      </w:pPr>
      <w:r>
        <w:rPr>
          <w:rFonts w:ascii="仿宋" w:eastAsia="仿宋" w:hAnsi="仿宋" w:cs="仿宋" w:hint="eastAsia"/>
          <w:b/>
          <w:bCs/>
          <w:kern w:val="0"/>
          <w:sz w:val="30"/>
          <w:szCs w:val="30"/>
        </w:rPr>
        <w:t>（</w:t>
      </w:r>
      <w:r>
        <w:rPr>
          <w:rFonts w:ascii="仿宋" w:eastAsia="仿宋" w:hAnsi="仿宋" w:cs="仿宋" w:hint="eastAsia"/>
          <w:b/>
          <w:bCs/>
          <w:kern w:val="0"/>
          <w:sz w:val="30"/>
          <w:szCs w:val="30"/>
        </w:rPr>
        <w:t>2019</w:t>
      </w:r>
      <w:r>
        <w:rPr>
          <w:rFonts w:ascii="仿宋" w:eastAsia="仿宋" w:hAnsi="仿宋" w:cs="仿宋" w:hint="eastAsia"/>
          <w:b/>
          <w:bCs/>
          <w:kern w:val="0"/>
          <w:sz w:val="30"/>
          <w:szCs w:val="30"/>
        </w:rPr>
        <w:t>年度）</w:t>
      </w:r>
    </w:p>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本科目考试内容涉及的主要会计、税收政策法规截止至</w:t>
      </w:r>
      <w:r>
        <w:rPr>
          <w:rFonts w:ascii="仿宋" w:eastAsia="仿宋" w:hAnsi="仿宋" w:cs="仿宋" w:hint="eastAsia"/>
          <w:kern w:val="0"/>
          <w:sz w:val="30"/>
          <w:szCs w:val="30"/>
        </w:rPr>
        <w:t>2019</w:t>
      </w:r>
      <w:r>
        <w:rPr>
          <w:rFonts w:ascii="仿宋" w:eastAsia="仿宋" w:hAnsi="仿宋" w:cs="仿宋" w:hint="eastAsia"/>
          <w:kern w:val="0"/>
          <w:sz w:val="30"/>
          <w:szCs w:val="30"/>
        </w:rPr>
        <w:t>年</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w:t>
      </w:r>
    </w:p>
    <w:p w:rsidR="00086B67" w:rsidRDefault="00845B34">
      <w:pPr>
        <w:widowControl/>
        <w:ind w:firstLine="599"/>
        <w:rPr>
          <w:rFonts w:ascii="仿宋" w:eastAsia="仿宋" w:hAnsi="仿宋" w:cs="仿宋"/>
          <w:b/>
          <w:bCs/>
          <w:kern w:val="0"/>
          <w:sz w:val="30"/>
          <w:szCs w:val="30"/>
        </w:rPr>
      </w:pPr>
      <w:r>
        <w:rPr>
          <w:rFonts w:ascii="仿宋" w:eastAsia="仿宋" w:hAnsi="仿宋" w:cs="仿宋" w:hint="eastAsia"/>
          <w:kern w:val="0"/>
          <w:sz w:val="30"/>
          <w:szCs w:val="30"/>
        </w:rPr>
        <w:t>本次大纲在</w:t>
      </w:r>
      <w:r>
        <w:rPr>
          <w:rFonts w:ascii="仿宋" w:eastAsia="仿宋" w:hAnsi="仿宋" w:cs="仿宋" w:hint="eastAsia"/>
          <w:kern w:val="0"/>
          <w:sz w:val="30"/>
          <w:szCs w:val="30"/>
        </w:rPr>
        <w:t>2018</w:t>
      </w:r>
      <w:r>
        <w:rPr>
          <w:rFonts w:ascii="仿宋" w:eastAsia="仿宋" w:hAnsi="仿宋" w:cs="仿宋" w:hint="eastAsia"/>
          <w:kern w:val="0"/>
          <w:sz w:val="30"/>
          <w:szCs w:val="30"/>
        </w:rPr>
        <w:t>年度考试大纲的基础上进行了部分补充和修订。主要调整了下列内容：</w:t>
      </w:r>
      <w:r>
        <w:rPr>
          <w:rFonts w:ascii="仿宋" w:eastAsia="仿宋" w:hAnsi="仿宋" w:cs="仿宋" w:hint="eastAsia"/>
          <w:kern w:val="0"/>
          <w:sz w:val="30"/>
          <w:szCs w:val="30"/>
        </w:rPr>
        <w:t>1.</w:t>
      </w:r>
      <w:r>
        <w:rPr>
          <w:rFonts w:ascii="仿宋" w:eastAsia="仿宋" w:hAnsi="仿宋" w:cs="仿宋" w:hint="eastAsia"/>
          <w:kern w:val="0"/>
          <w:sz w:val="30"/>
          <w:szCs w:val="30"/>
        </w:rPr>
        <w:t>第六章第三节中增加了“应收账款的日常管理”。</w:t>
      </w:r>
      <w:r>
        <w:rPr>
          <w:rFonts w:ascii="仿宋" w:eastAsia="仿宋" w:hAnsi="仿宋" w:cs="仿宋" w:hint="eastAsia"/>
          <w:kern w:val="0"/>
          <w:sz w:val="30"/>
          <w:szCs w:val="30"/>
        </w:rPr>
        <w:t xml:space="preserve">2. </w:t>
      </w:r>
      <w:r>
        <w:rPr>
          <w:rFonts w:ascii="仿宋" w:eastAsia="仿宋" w:hAnsi="仿宋" w:cs="仿宋" w:hint="eastAsia"/>
          <w:kern w:val="0"/>
          <w:sz w:val="30"/>
          <w:szCs w:val="30"/>
        </w:rPr>
        <w:t>第六章第四节中增加了“存货的日常控制”。</w:t>
      </w:r>
      <w:r>
        <w:rPr>
          <w:rFonts w:ascii="仿宋" w:eastAsia="仿宋" w:hAnsi="仿宋" w:cs="仿宋" w:hint="eastAsia"/>
          <w:kern w:val="0"/>
          <w:sz w:val="30"/>
          <w:szCs w:val="30"/>
        </w:rPr>
        <w:t>3.</w:t>
      </w:r>
      <w:r>
        <w:rPr>
          <w:rFonts w:ascii="仿宋" w:eastAsia="仿宋" w:hAnsi="仿宋" w:cs="仿宋" w:hint="eastAsia"/>
          <w:kern w:val="0"/>
          <w:sz w:val="30"/>
          <w:szCs w:val="30"/>
        </w:rPr>
        <w:t>针对《金融工具确认和计量》、《租赁》等准则的修订，对相关内容进行了调整。</w:t>
      </w:r>
      <w:r>
        <w:rPr>
          <w:rFonts w:ascii="仿宋" w:eastAsia="仿宋" w:hAnsi="仿宋" w:cs="仿宋" w:hint="eastAsia"/>
          <w:kern w:val="0"/>
          <w:sz w:val="30"/>
          <w:szCs w:val="30"/>
        </w:rPr>
        <w:t xml:space="preserve"> 4.</w:t>
      </w:r>
      <w:r>
        <w:rPr>
          <w:rFonts w:ascii="仿宋" w:eastAsia="仿宋" w:hAnsi="仿宋" w:cs="仿宋" w:hint="eastAsia"/>
          <w:kern w:val="0"/>
          <w:sz w:val="30"/>
          <w:szCs w:val="30"/>
        </w:rPr>
        <w:t>对第十六章的内容进行了优化，将原六节缩减为四节。</w:t>
      </w:r>
      <w:r>
        <w:rPr>
          <w:rFonts w:ascii="仿宋" w:eastAsia="仿宋" w:hAnsi="仿宋" w:cs="仿宋" w:hint="eastAsia"/>
          <w:kern w:val="0"/>
          <w:sz w:val="30"/>
          <w:szCs w:val="30"/>
        </w:rPr>
        <w:t>5.</w:t>
      </w:r>
      <w:r>
        <w:rPr>
          <w:rFonts w:ascii="仿宋" w:eastAsia="仿宋" w:hAnsi="仿宋" w:cs="仿宋" w:hint="eastAsia"/>
          <w:kern w:val="0"/>
          <w:sz w:val="30"/>
          <w:szCs w:val="30"/>
        </w:rPr>
        <w:t>第十七章增加了“现行会计与税法的主要差异”内容。</w:t>
      </w:r>
      <w:r>
        <w:rPr>
          <w:rFonts w:ascii="仿宋" w:eastAsia="仿宋" w:hAnsi="仿宋" w:cs="仿宋" w:hint="eastAsia"/>
          <w:kern w:val="0"/>
          <w:sz w:val="30"/>
          <w:szCs w:val="30"/>
        </w:rPr>
        <w:t>6.</w:t>
      </w:r>
      <w:r>
        <w:rPr>
          <w:rFonts w:ascii="仿宋" w:eastAsia="仿宋" w:hAnsi="仿宋" w:cs="仿宋" w:hint="eastAsia"/>
          <w:kern w:val="0"/>
          <w:sz w:val="30"/>
          <w:szCs w:val="30"/>
        </w:rPr>
        <w:t>根据《关于修订印发</w:t>
      </w:r>
      <w:r>
        <w:rPr>
          <w:rFonts w:ascii="仿宋" w:eastAsia="仿宋" w:hAnsi="仿宋" w:cs="仿宋" w:hint="eastAsia"/>
          <w:kern w:val="0"/>
          <w:sz w:val="30"/>
          <w:szCs w:val="30"/>
        </w:rPr>
        <w:t>2018</w:t>
      </w:r>
      <w:r>
        <w:rPr>
          <w:rFonts w:ascii="仿宋" w:eastAsia="仿宋" w:hAnsi="仿宋" w:cs="仿宋" w:hint="eastAsia"/>
          <w:kern w:val="0"/>
          <w:sz w:val="30"/>
          <w:szCs w:val="30"/>
        </w:rPr>
        <w:t>年度一般企业财务报表格式的通知》（财会〔</w:t>
      </w:r>
      <w:r>
        <w:rPr>
          <w:rFonts w:ascii="仿宋" w:eastAsia="仿宋" w:hAnsi="仿宋" w:cs="仿宋" w:hint="eastAsia"/>
          <w:kern w:val="0"/>
          <w:sz w:val="30"/>
          <w:szCs w:val="30"/>
        </w:rPr>
        <w:t>2018</w:t>
      </w:r>
      <w:r>
        <w:rPr>
          <w:rFonts w:ascii="仿宋" w:eastAsia="仿宋" w:hAnsi="仿宋" w:cs="仿宋" w:hint="eastAsia"/>
          <w:kern w:val="0"/>
          <w:sz w:val="30"/>
          <w:szCs w:val="30"/>
        </w:rPr>
        <w:t>〕</w:t>
      </w:r>
      <w:r>
        <w:rPr>
          <w:rFonts w:ascii="仿宋" w:eastAsia="仿宋" w:hAnsi="仿宋" w:cs="仿宋" w:hint="eastAsia"/>
          <w:kern w:val="0"/>
          <w:sz w:val="30"/>
          <w:szCs w:val="30"/>
        </w:rPr>
        <w:t>15</w:t>
      </w:r>
      <w:r>
        <w:rPr>
          <w:rFonts w:ascii="仿宋" w:eastAsia="仿宋" w:hAnsi="仿宋" w:cs="仿宋" w:hint="eastAsia"/>
          <w:kern w:val="0"/>
          <w:sz w:val="30"/>
          <w:szCs w:val="30"/>
        </w:rPr>
        <w:t>号）的规定，对财务报表相关内容进行了修订。</w:t>
      </w:r>
    </w:p>
    <w:p w:rsidR="00086B67" w:rsidRDefault="00845B34">
      <w:pPr>
        <w:widowControl/>
        <w:jc w:val="center"/>
        <w:rPr>
          <w:rFonts w:ascii="仿宋" w:eastAsia="仿宋" w:hAnsi="仿宋" w:cs="仿宋"/>
          <w:kern w:val="0"/>
          <w:sz w:val="30"/>
          <w:szCs w:val="30"/>
        </w:rPr>
      </w:pPr>
      <w:r>
        <w:rPr>
          <w:rFonts w:ascii="仿宋" w:eastAsia="仿宋" w:hAnsi="仿宋" w:cs="仿宋" w:hint="eastAsia"/>
          <w:b/>
          <w:bCs/>
          <w:kern w:val="0"/>
          <w:sz w:val="30"/>
          <w:szCs w:val="30"/>
        </w:rPr>
        <w:t>上篇财务</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财务管理概</w:t>
      </w:r>
      <w:r>
        <w:rPr>
          <w:rFonts w:ascii="仿宋" w:eastAsia="仿宋" w:hAnsi="仿宋" w:cs="仿宋" w:hint="eastAsia"/>
          <w:b/>
          <w:bCs/>
          <w:kern w:val="0"/>
          <w:sz w:val="30"/>
          <w:szCs w:val="30"/>
        </w:rPr>
        <w:t>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一、财务管理内容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熟悉财务管理的内容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二、财务管理目标</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熟悉财务管理目标理论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了解利益相关者的要求</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三、财务管理的环境</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了解法律环境</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了解经济环境</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了解金融环境</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财务管理基础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一、货币时间价值</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掌握终值和现值的计算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二、风险与收益</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掌握资产的收益与收益率的含义与计算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掌握资产的风险及其衡量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熟悉证券资产组合的风险与收益</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掌握资本资产定价模型</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了解财务估值方法</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财务预测和财务预算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一、资金需要量预测</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了解资金需要量预测的意义</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掌握资金需要量预测的方法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二、利润预测</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了解本量利分析的含义及基本假设</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熟悉本量利分析的原理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掌握利润预测相关指标的计算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三、财务预算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熟悉全面预算的内容和作用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了解财务预算的内容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熟悉财务预算的编制方法</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筹资与股利分配管理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一、筹资管理概述</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了解企业筹资的动机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了解筹资管理的内容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熟悉筹资的分类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了解筹资管理的原则</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二、筹资方式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熟悉各种筹资方式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掌握各种筹资方式的优缺点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三、资本成本与资本结构</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了解资本成本的作用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掌握各种资本成本的计算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掌握杠杆效应的计算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掌握最优资本结构决策方法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四、股利分配</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熟悉各种股利分配政策</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熟悉股利分配形式与程序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熟悉股票股利、股票分割与股票回购</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投资管理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一、投资管理的主要内容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了解企业投资管理的意义与特点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了解企业投资的分类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二、掌握固定资产投资决策方法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掌握固定资产投资项目现金流量的估计</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掌握固定资产投资决策的各种方法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熟悉固定资产投资决策的特殊应用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三、固定资产投资决策方法的综合运用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熟悉独立投资方案的决策</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熟悉互斥投资方案的决策</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掌握固定资产更新决策</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四、有价证券投资管理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了解债券投资的优缺点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掌握债券估价基本模型</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了解股票投资的优缺点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掌握股票估价基本模型</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五、公司并购与收缩</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了解公司并购的动因</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熟悉被并购企业的价值评估</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了解并购支付的方式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了解公司收缩的含义</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熟悉公司收缩的主要方式及效用</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营运资金管理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一、营运资金管理的主要内容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了解营运资金的含义和特点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掌握营运资金的管理策略</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二、现金管理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熟悉持有现金的动机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掌握目标现金余额的确定</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熟悉现金收支日常管理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三、应收账款管理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了解应收账款的管理目标</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掌握应收账款成本的计算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掌握信用政策</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熟悉应收账款的日常管理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四、存货管理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了解存货管理的目标</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掌握存货成本的计算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掌握最优存货量的确定</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熟悉存货的日常控制</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五、流动负债管理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熟悉短期借款的信用条件与成本计算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熟悉商业信用的形式与成本计算</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财务分析与评价</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一、财务分析概述</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了解财务分析的意义和内容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熟悉财务分析的基本方法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二、基本财务分析</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掌握偿债能力分析的各项指标计算及其意义</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掌握营运能力分析的各项指标计算及其意义</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掌握获利能力分析的各项指标计算及其意义</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掌握发展能力分析的各项指标计算及其意义</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掌握获取现金能力分析的各项指标计算及其意义</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掌握上市公司特殊财务分析指标的计算及其意义</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三、综合分析与评价</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掌握杜邦分析法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熟悉综合绩效评价的内容与指标</w:t>
      </w:r>
    </w:p>
    <w:p w:rsidR="00086B67" w:rsidRDefault="00086B67">
      <w:pPr>
        <w:widowControl/>
        <w:jc w:val="center"/>
        <w:rPr>
          <w:rFonts w:ascii="仿宋" w:eastAsia="仿宋" w:hAnsi="仿宋" w:cs="仿宋"/>
          <w:b/>
          <w:bCs/>
          <w:kern w:val="0"/>
          <w:sz w:val="30"/>
          <w:szCs w:val="30"/>
        </w:rPr>
      </w:pPr>
    </w:p>
    <w:p w:rsidR="00086B67" w:rsidRDefault="00845B34">
      <w:pPr>
        <w:widowControl/>
        <w:jc w:val="center"/>
        <w:rPr>
          <w:rFonts w:ascii="仿宋" w:eastAsia="仿宋" w:hAnsi="仿宋" w:cs="仿宋"/>
          <w:kern w:val="0"/>
          <w:sz w:val="30"/>
          <w:szCs w:val="30"/>
        </w:rPr>
      </w:pPr>
      <w:r>
        <w:rPr>
          <w:rFonts w:ascii="仿宋" w:eastAsia="仿宋" w:hAnsi="仿宋" w:cs="仿宋" w:hint="eastAsia"/>
          <w:b/>
          <w:bCs/>
          <w:kern w:val="0"/>
          <w:sz w:val="30"/>
          <w:szCs w:val="30"/>
        </w:rPr>
        <w:t>下篇</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会计</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财务会计概论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一、财务会计目标、会计基本假设和会计基础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了解财务会计目标</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掌握会计基本假设</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了解会计基础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二、财务会计要素及其确认、计量和报告</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熟悉财务会计要素及其确认</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掌握财务会计的计量属性</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了解财务报告</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三、我国企业财务会计核算规范及其信息质量要求</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了解我国企业财务会计核算规范</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熟悉财务会计信息质量要求</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四、企业破产清算会计</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了解破产清算业务</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熟悉企业破产清算的适用范围</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熟悉企业破产清算的编制基础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掌握破产清算的计量属性</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熟悉企业破产清算的科目设置及核算内容</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流动资产（一）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一、货币资金的核算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了解现金的核算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熟悉银行存款的核算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掌握其他货币资金的核算内容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二、应收款项的核算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熟悉应收票据的种类及其核算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掌握应收票据贴现的计算及其账务处理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掌握应收账款的范围、计价及其账务处理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了解预付账款、应收股利和应收利息、其他应收款的内容及其账务处理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掌握应收款项减值的判断、确定及其账务处理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三、以公允价值计量且其变动计入当期损益的金融资产的核算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了解金融资产及其分类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熟悉以公允价值计量且其变动计入当期损益的金融资产的特征</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掌握以公允价值计量且</w:t>
      </w:r>
      <w:r>
        <w:rPr>
          <w:rFonts w:ascii="仿宋" w:eastAsia="仿宋" w:hAnsi="仿宋" w:cs="仿宋" w:hint="eastAsia"/>
          <w:kern w:val="0"/>
          <w:sz w:val="30"/>
          <w:szCs w:val="30"/>
        </w:rPr>
        <w:t>其变动计入当期损益的金融资产的确认、计量及其账务处理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四、外币业务的核算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了解外币业务的内容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掌握外币业务的会计处理</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流动资产（二）</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一、存货的确认和计量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熟悉存货的种类及其确认条件</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掌握存货的初始及后续计量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掌握存货的期末计量及其账务处理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二、原材料</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了解原材料的核算内容及其方法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掌握按实际成本计价的原材料核算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掌握按计划成本计价的原材料核算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三、其他存货的核算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掌握委托加工物资的核算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熟悉周转材料的核算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掌握库存商品的核算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了解发出商品的核算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四、存货清查的核算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了解存货数量的确定方法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熟悉存货清查的账务处理</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非流动资产（一）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一、固定资产的确认和计量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熟悉固定资产的确认方法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掌握固定资产的计量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二、固定资产取得时的核算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熟悉固定资产取得的主要来源</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掌握不同来源取得时固定资产的计量及其账务处理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三、固定资产折旧的核算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了解固定资产折旧的性质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熟悉影响固定资产折旧的基本因素</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掌握固定资产折旧的范围、方法及其账务处理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四、固定资产后续支出、处置的核算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熟悉固定资产后续支出的内容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掌握固定资产处置的方式及其会计处理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五、无形资产的核算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熟悉无形资产内容、特征</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掌握无形资产的确认与计量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掌握无形资产取得、摊销、处置和报废的核算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六、固定资产、无形资产等资产减值的核算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了解固定资产、无形资产等资产发生减值的判断</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熟悉资产可收回金额的计量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掌握资产减值损失的账务处理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七、持有待售的非流动资产、处置组和终止经营</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了解非流动资产、处置组适用范围</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熟悉持有待售的非流动资产或处置组的分类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掌握持有待售的非</w:t>
      </w:r>
      <w:r>
        <w:rPr>
          <w:rFonts w:ascii="仿宋" w:eastAsia="仿宋" w:hAnsi="仿宋" w:cs="仿宋" w:hint="eastAsia"/>
          <w:kern w:val="0"/>
          <w:sz w:val="30"/>
          <w:szCs w:val="30"/>
        </w:rPr>
        <w:t>流动资产或处置组的计量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熟悉持有待售的非流动资产或处置组、终止经营的列报</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非流动资产（二）</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一、以摊余成本计量的金融资产的核算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熟悉以摊余成本计量的金融资产的确认</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熟悉以摊余成本计量的金融资产的计量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掌握以摊余成本计量的金融资产的账务处理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二、以公允价值计量且其变动计入其他综合收益的金融资产的核算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熟悉以公允价值计量且其变动计入其他综合收益的金融资产的确认</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熟悉以公允价值计量且其变动计入其他综合收益的金融资产的计量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掌握以公允价值计量且其变动计入其他综合收</w:t>
      </w:r>
      <w:r>
        <w:rPr>
          <w:rFonts w:ascii="仿宋" w:eastAsia="仿宋" w:hAnsi="仿宋" w:cs="仿宋" w:hint="eastAsia"/>
          <w:kern w:val="0"/>
          <w:sz w:val="30"/>
          <w:szCs w:val="30"/>
        </w:rPr>
        <w:t>益的金融资产的账务处理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三、长期股权投资的核算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掌握长期股权投资取得的核算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掌握长期股权投资核算的成本法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掌握长期股权投资核算的权益法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掌握长期股权投资核算方法转换的账务处理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掌握长期股权投资处置和减值的账务处理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四、企业合并与合营安排</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了解企业合并的方式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熟悉企业合并的处理原则</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掌握吸收合并的账务处理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熟悉合营安排的认定、分类、重新评估</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掌握共同经营参与方与合营企业参与方的账务处理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五、投资性房地产的核算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了解投资性房地产的范围</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熟悉投资性房地产的确认和计量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了解投资性房地产的转换与处置</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（四）掌握投资性房地产业务的账务处理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六、套期会计</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了解套期的分类与会计方法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熟悉套期工具和被套期项目、套期关系评估</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掌握套期工具和被套期项目的确认、计量与账务处理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掌握信用风险敞口的公允价值选择权的处理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七、长期应收款和长期待摊费用的核算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熟悉长期应收款的核算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熟悉长期待摊费用的范围及其账务处理</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流动负债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一、应付账款和应付票据的核算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熟悉应付账款确认和计量的一般规定</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掌握应付</w:t>
      </w:r>
      <w:r>
        <w:rPr>
          <w:rFonts w:ascii="仿宋" w:eastAsia="仿宋" w:hAnsi="仿宋" w:cs="仿宋" w:hint="eastAsia"/>
          <w:kern w:val="0"/>
          <w:sz w:val="30"/>
          <w:szCs w:val="30"/>
        </w:rPr>
        <w:t>账款的账务处理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掌握应付票据的账务处理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二、应交税费的核算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掌握增值税的账务处理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掌握消费税的账务处理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掌握其他税费的账务处理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三、应付职工薪酬的核算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熟悉应付职工薪酬的内容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掌握应付职工薪酬的确认和计量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掌握应付职工薪酬的账务处理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掌握以现金结算的股份支付形成的应付职工薪酬的账务处理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四、其他流动负债的核算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熟悉短期借款、预收账款、受托代销商品款的账务处理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掌握以公允价值计量其变动计入当期损益的金融负债的账务处理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掌握应付利息、应付股利和其他应付款的账务处理</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非流动负债</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一、借款费用的核算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了解借款费用的内容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熟悉借款费用确认和计量的一般规定</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掌握借款费用资本化金额的具体计算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掌握借款费用的账务处理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二、应付债券的核算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了解应付债券的种类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掌握应付债券发行、利息费用和偿还的账务处理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掌握应付可转换公司债券的账务处理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三、其他长期负债的核算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掌握长期借款的账务处理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掌握具有融资性质的延期付款购买资产、租赁付款额的账务处理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了解专项应付款的核算内容及账务处理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四、预计负债的核算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熟悉预计负债的确认和计量的一般规定</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掌握预计负债的账务处理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五、债务重组的核算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熟悉债务重组的方式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掌握不同债务重组方式下债务人和债权人各自的账务处理</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所有者权益</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一、所有者权益核算的基本要求</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熟悉金融负债和权益工具的区分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了解复合金融工具</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了解所有者权益的分类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二、实收资本和其他权益工具的核算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熟悉投资者投入资本的形式及计价</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掌握有限责任公司实收资本、股份有限公司股本的账务处理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掌握企业增资和减资的账务处理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掌握库存股及其账务处理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熟悉其他权益工具的账务处理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三、资本公积和其他综合收益的核算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熟悉资本公积的内容及其用途</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掌握资本公积的账务处理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掌握其他综合收益的内容及其账务处理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四、留存收益的核算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了解留存收益的内容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熟悉盈余公积的组成内容及其用途</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掌握盈余公积的账务处理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熟悉未分配利润及其账务处理</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收入、费用、利润和产品成本</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一、收入</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熟悉收入的确认</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熟悉收入的计量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三掌握特定交易的会计处理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掌握合同成本</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二、费用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掌握管理费用的核算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掌握销售费用的核算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掌握财务费用的核算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三、利润的核算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了解利润总额的计算公式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掌握资产减值损失、公允价值变动损益、投资收益、营业外收入、营业外支出的核算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掌握政府补助的核算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掌握利润总额的核算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掌握利润分配的核算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四、产品成本核算的一般程序及基本方法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了解产品成本的核算内容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熟悉产品成本核算的一般程序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掌握生产费用在完工产品和在产品之间的归集和分配方法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熟悉产品成本计算的基本方法</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w:t>
      </w:r>
      <w:r>
        <w:rPr>
          <w:rFonts w:ascii="仿宋" w:eastAsia="仿宋" w:hAnsi="仿宋" w:cs="仿宋" w:hint="eastAsia"/>
          <w:b/>
          <w:bCs/>
          <w:kern w:val="0"/>
          <w:sz w:val="30"/>
          <w:szCs w:val="30"/>
        </w:rPr>
        <w:t>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所得税</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一、所得税会计概述</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了解资产负债表债务法的理论基础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熟悉所得税会计的一般程序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二、资产、负债的计税基础及暂时性差异</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掌握资产的计税基础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掌握负债的计税基础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掌握各类别的暂时性差异</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三、递延所得税资产及递延所得税负债的确认</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掌握递延所得税资产的确认</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掌握递延所得税负债的确认</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掌握特殊交易或事项中所涉及递延所得税的确认</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四、所得税费用的确认和计量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熟悉当期所得税、递延所得税及所得税费用的计算</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了解所得税的列报</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会计调整</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一、会计政策变更</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掌握会计政策变更的会计处理方法及其运用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二、会计估计变更</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掌握会计估计变更的会计处理方法及其运用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三、前期差错更正</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掌握前期差错更正的会计处理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四、资产负债表日后事项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熟悉资产负债表日后事项的类型</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掌握资产负债表日后事项的会计处理</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第十九章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财务报告</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一、资产负债表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了解资产负债表的格式和内容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熟悉资产负债表的编制方法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二、利润表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了解利润表的格式和内容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熟悉利润表的编制方法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三、现金流量表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了解现金流量表的作用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熟悉现金流量表的编制基础</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了解现金流量的分类</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了解现金流量表的基本格式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熟悉现金流量表及补充资料的编制方法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四、所有者权益变动表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了解所有者权益变动表的格式和内容</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了解所有者权益变动表的编制方法</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五、财务报表附注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了解财务报表附注的作用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熟悉财务报表附注应披露的主要内容</w:t>
      </w:r>
    </w:p>
    <w:p w:rsidR="00086B67" w:rsidRDefault="00845B34">
      <w:pPr>
        <w:widowControl/>
        <w:rPr>
          <w:rFonts w:ascii="仿宋" w:eastAsia="仿宋" w:hAnsi="仿宋" w:cs="仿宋"/>
          <w:kern w:val="0"/>
          <w:sz w:val="30"/>
          <w:szCs w:val="30"/>
        </w:rPr>
      </w:pPr>
      <w:r>
        <w:rPr>
          <w:rFonts w:ascii="仿宋" w:eastAsia="仿宋" w:hAnsi="仿宋" w:cs="仿宋" w:hint="eastAsia"/>
          <w:b/>
          <w:bCs/>
          <w:kern w:val="0"/>
          <w:sz w:val="30"/>
          <w:szCs w:val="30"/>
        </w:rPr>
        <w:t>第二十章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合并财务报表</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一、合并财务报表概述</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了解合并财务报表的特点及编制原则</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掌握合并财务报表合并范围的确定</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了解合并财务报表的编制程序</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熟悉编制合并财务报表需要调整抵销的项目</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二、长期股权投资与所有者权益的合并处理（同一控制下）</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熟悉同一控制下取得子公司合并日合并财务报表的编制</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掌握直接投资及同一控制下取得子公司合并日后合并财务报表的编制</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三、长期股权投资与所有者权益的合并处理（非同一控制下）</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熟悉非同一控制下取得子公司购并日合并财务报表的编制</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掌握非同一控制下取得子公司购并日后合并财务报表的编制</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四、内部商品交易的合并处理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熟悉内部销售收入和内部销售成本的抵销处理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掌握连续编制合并财务报表时内部销售商品的合并处理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了解存货跌价准备的合并</w:t>
      </w:r>
      <w:r>
        <w:rPr>
          <w:rFonts w:ascii="仿宋" w:eastAsia="仿宋" w:hAnsi="仿宋" w:cs="仿宋" w:hint="eastAsia"/>
          <w:kern w:val="0"/>
          <w:sz w:val="30"/>
          <w:szCs w:val="30"/>
        </w:rPr>
        <w:t>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五、内部债权债务的合并处理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熟悉内部应收应付款项及其坏账准备的合并处理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掌握连续编制合并财务报表时内部应收应付款项及其坏账准备的合并处理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六、内部固定资产交易的合并处理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熟悉内部固定资产交易当期的合并的处理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掌握内部交易固定资产取得后至处置前期间的合并处理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七、内部无形资产交易的合并处理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熟悉内部无形资产交易当期的合并的处理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掌握内部交易无形资产持有期间的合并处理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lastRenderedPageBreak/>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了解内部无形资产交易摊销完毕的期间的合并处理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八、所得税会计相关的合并处理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一</w:t>
      </w:r>
      <w:r>
        <w:rPr>
          <w:rFonts w:ascii="仿宋" w:eastAsia="仿宋" w:hAnsi="仿宋" w:cs="仿宋" w:hint="eastAsia"/>
          <w:kern w:val="0"/>
          <w:sz w:val="30"/>
          <w:szCs w:val="30"/>
        </w:rPr>
        <w:t>)</w:t>
      </w:r>
      <w:r>
        <w:rPr>
          <w:rFonts w:ascii="仿宋" w:eastAsia="仿宋" w:hAnsi="仿宋" w:cs="仿宋" w:hint="eastAsia"/>
          <w:kern w:val="0"/>
          <w:sz w:val="30"/>
          <w:szCs w:val="30"/>
        </w:rPr>
        <w:t>掌握内部应收款项相关所得税会计的合并抵销处理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掌握内部交易存货相关所得税会计的合并抵销处理</w:t>
      </w:r>
    </w:p>
    <w:p w:rsidR="00086B67" w:rsidRDefault="00845B34">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掌握内部固定资产等相关所得税会计的合并抵销处理</w:t>
      </w: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086B67">
      <w:pPr>
        <w:widowControl/>
        <w:ind w:firstLine="602"/>
        <w:jc w:val="center"/>
        <w:rPr>
          <w:rFonts w:ascii="仿宋" w:eastAsia="仿宋" w:hAnsi="仿宋" w:cs="仿宋"/>
          <w:b/>
          <w:bCs/>
          <w:kern w:val="0"/>
          <w:sz w:val="30"/>
          <w:szCs w:val="30"/>
        </w:rPr>
      </w:pPr>
    </w:p>
    <w:p w:rsidR="00086B67" w:rsidRDefault="00845B34">
      <w:pPr>
        <w:widowControl/>
        <w:jc w:val="left"/>
        <w:rPr>
          <w:rFonts w:ascii="仿宋" w:eastAsia="仿宋" w:hAnsi="仿宋" w:cs="仿宋"/>
          <w:kern w:val="0"/>
          <w:sz w:val="30"/>
          <w:szCs w:val="30"/>
        </w:rPr>
      </w:pPr>
      <w:bookmarkStart w:id="1" w:name="_Hlk3887009"/>
      <w:r>
        <w:rPr>
          <w:rFonts w:ascii="仿宋" w:eastAsia="仿宋" w:hAnsi="仿宋" w:cs="仿宋" w:hint="eastAsia"/>
          <w:kern w:val="0"/>
          <w:sz w:val="30"/>
          <w:szCs w:val="30"/>
        </w:rPr>
        <w:lastRenderedPageBreak/>
        <w:t>附件</w:t>
      </w:r>
      <w:r>
        <w:rPr>
          <w:rFonts w:ascii="仿宋" w:eastAsia="仿宋" w:hAnsi="仿宋" w:cs="仿宋" w:hint="eastAsia"/>
          <w:kern w:val="0"/>
          <w:sz w:val="30"/>
          <w:szCs w:val="30"/>
        </w:rPr>
        <w:t>5</w:t>
      </w:r>
    </w:p>
    <w:p w:rsidR="00086B67" w:rsidRDefault="00845B34">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《涉税服务实务》考试大纲</w:t>
      </w:r>
    </w:p>
    <w:p w:rsidR="00086B67" w:rsidRDefault="00845B34">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w:t>
      </w:r>
      <w:r>
        <w:rPr>
          <w:rFonts w:ascii="仿宋" w:eastAsia="仿宋" w:hAnsi="仿宋" w:cs="仿宋" w:hint="eastAsia"/>
          <w:b/>
          <w:bCs/>
          <w:kern w:val="0"/>
          <w:sz w:val="30"/>
          <w:szCs w:val="30"/>
        </w:rPr>
        <w:t>2019</w:t>
      </w:r>
      <w:r>
        <w:rPr>
          <w:rFonts w:ascii="仿宋" w:eastAsia="仿宋" w:hAnsi="仿宋" w:cs="仿宋" w:hint="eastAsia"/>
          <w:b/>
          <w:bCs/>
          <w:kern w:val="0"/>
          <w:sz w:val="30"/>
          <w:szCs w:val="30"/>
        </w:rPr>
        <w:t>年度）</w:t>
      </w:r>
    </w:p>
    <w:bookmarkEnd w:id="1"/>
    <w:p w:rsidR="00086B67" w:rsidRDefault="00845B34">
      <w:pPr>
        <w:widowControl/>
        <w:ind w:firstLine="599"/>
        <w:rPr>
          <w:rFonts w:ascii="仿宋" w:eastAsia="仿宋" w:hAnsi="仿宋" w:cs="仿宋"/>
          <w:kern w:val="0"/>
          <w:sz w:val="30"/>
          <w:szCs w:val="30"/>
        </w:rPr>
      </w:pPr>
      <w:r>
        <w:rPr>
          <w:rFonts w:ascii="仿宋" w:eastAsia="仿宋" w:hAnsi="仿宋" w:cs="仿宋" w:hint="eastAsia"/>
          <w:kern w:val="0"/>
          <w:sz w:val="30"/>
          <w:szCs w:val="30"/>
        </w:rPr>
        <w:t>本科目考试内容涉及的政策法规以</w:t>
      </w:r>
      <w:r>
        <w:rPr>
          <w:rFonts w:ascii="仿宋" w:eastAsia="仿宋" w:hAnsi="仿宋" w:cs="仿宋" w:hint="eastAsia"/>
          <w:kern w:val="0"/>
          <w:sz w:val="30"/>
          <w:szCs w:val="30"/>
        </w:rPr>
        <w:t>2019</w:t>
      </w:r>
      <w:r>
        <w:rPr>
          <w:rFonts w:ascii="仿宋" w:eastAsia="仿宋" w:hAnsi="仿宋" w:cs="仿宋" w:hint="eastAsia"/>
          <w:kern w:val="0"/>
          <w:sz w:val="30"/>
          <w:szCs w:val="30"/>
        </w:rPr>
        <w:t>年</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日之前发布的税收政策为依据。</w:t>
      </w:r>
    </w:p>
    <w:p w:rsidR="00086B67" w:rsidRDefault="00845B34">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本科目属于综合运用性学科，注重培养应试者运用专业知识解决实际问题的能力，以及处理各项实际业务的操作水平。在掌握《税法（</w:t>
      </w:r>
      <w:r>
        <w:rPr>
          <w:rFonts w:ascii="仿宋" w:eastAsia="仿宋" w:hAnsi="仿宋" w:cs="仿宋" w:hint="eastAsia"/>
          <w:kern w:val="0"/>
          <w:sz w:val="30"/>
          <w:szCs w:val="30"/>
        </w:rPr>
        <w:t>I</w:t>
      </w:r>
      <w:r>
        <w:rPr>
          <w:rFonts w:ascii="仿宋" w:eastAsia="仿宋" w:hAnsi="仿宋" w:cs="仿宋" w:hint="eastAsia"/>
          <w:kern w:val="0"/>
          <w:sz w:val="30"/>
          <w:szCs w:val="30"/>
        </w:rPr>
        <w:t>）》和《税法（</w:t>
      </w:r>
      <w:r>
        <w:rPr>
          <w:rFonts w:ascii="仿宋" w:eastAsia="仿宋" w:hAnsi="仿宋" w:cs="仿宋" w:hint="eastAsia"/>
          <w:kern w:val="0"/>
          <w:sz w:val="30"/>
          <w:szCs w:val="30"/>
        </w:rPr>
        <w:t>II</w:t>
      </w:r>
      <w:r>
        <w:rPr>
          <w:rFonts w:ascii="仿宋" w:eastAsia="仿宋" w:hAnsi="仿宋" w:cs="仿宋" w:hint="eastAsia"/>
          <w:kern w:val="0"/>
          <w:sz w:val="30"/>
          <w:szCs w:val="30"/>
        </w:rPr>
        <w:t>）》的基础上，要求应试者了解税务师行业的基本制度和规则，熟悉各项涉税服务业务的具体操作程序和操作规范，能够掌握税务师行业执业的基本知识和技能。本次《涉税服务实务》大纲修订对部分章节内容进行了补充和调整：</w:t>
      </w:r>
      <w:r>
        <w:rPr>
          <w:rFonts w:ascii="仿宋" w:eastAsia="仿宋" w:hAnsi="仿宋" w:cs="仿宋" w:hint="eastAsia"/>
          <w:kern w:val="0"/>
          <w:sz w:val="30"/>
          <w:szCs w:val="30"/>
        </w:rPr>
        <w:t>1.</w:t>
      </w:r>
      <w:r>
        <w:rPr>
          <w:rFonts w:ascii="仿宋" w:eastAsia="仿宋" w:hAnsi="仿宋" w:cs="仿宋" w:hint="eastAsia"/>
          <w:kern w:val="0"/>
          <w:sz w:val="30"/>
          <w:szCs w:val="30"/>
        </w:rPr>
        <w:t>在第一章中增加了</w:t>
      </w:r>
      <w:r>
        <w:rPr>
          <w:rFonts w:ascii="仿宋" w:eastAsia="仿宋" w:hAnsi="仿宋" w:cs="仿宋" w:hint="eastAsia"/>
          <w:kern w:val="0"/>
          <w:sz w:val="30"/>
          <w:szCs w:val="30"/>
        </w:rPr>
        <w:t>2018</w:t>
      </w:r>
      <w:r>
        <w:rPr>
          <w:rFonts w:ascii="仿宋" w:eastAsia="仿宋" w:hAnsi="仿宋" w:cs="仿宋" w:hint="eastAsia"/>
          <w:kern w:val="0"/>
          <w:sz w:val="30"/>
          <w:szCs w:val="30"/>
        </w:rPr>
        <w:t>年关于涉税服务制度的规范管理和税务师事务所的相关内容；</w:t>
      </w:r>
      <w:r>
        <w:rPr>
          <w:rFonts w:ascii="仿宋" w:eastAsia="仿宋" w:hAnsi="仿宋" w:cs="仿宋" w:hint="eastAsia"/>
          <w:kern w:val="0"/>
          <w:sz w:val="30"/>
          <w:szCs w:val="30"/>
        </w:rPr>
        <w:t>2.</w:t>
      </w:r>
      <w:r>
        <w:rPr>
          <w:rFonts w:ascii="仿宋" w:eastAsia="仿宋" w:hAnsi="仿宋" w:cs="仿宋" w:hint="eastAsia"/>
          <w:kern w:val="0"/>
          <w:sz w:val="30"/>
          <w:szCs w:val="30"/>
        </w:rPr>
        <w:t>针对</w:t>
      </w:r>
      <w:r>
        <w:rPr>
          <w:rFonts w:ascii="仿宋" w:eastAsia="仿宋" w:hAnsi="仿宋" w:cs="仿宋" w:hint="eastAsia"/>
          <w:kern w:val="0"/>
          <w:sz w:val="30"/>
          <w:szCs w:val="30"/>
        </w:rPr>
        <w:t>2018</w:t>
      </w:r>
      <w:r>
        <w:rPr>
          <w:rFonts w:ascii="仿宋" w:eastAsia="仿宋" w:hAnsi="仿宋" w:cs="仿宋" w:hint="eastAsia"/>
          <w:kern w:val="0"/>
          <w:sz w:val="30"/>
          <w:szCs w:val="30"/>
        </w:rPr>
        <w:t>年进行的国地税征管体制改革，在第二章中对我国税务管理机构设置及其职能进行了</w:t>
      </w:r>
      <w:r>
        <w:rPr>
          <w:rFonts w:ascii="仿宋" w:eastAsia="仿宋" w:hAnsi="仿宋" w:cs="仿宋" w:hint="eastAsia"/>
          <w:kern w:val="0"/>
          <w:sz w:val="30"/>
          <w:szCs w:val="30"/>
        </w:rPr>
        <w:t>修改，对部分税务登记管理事项进行了修改；</w:t>
      </w:r>
      <w:r>
        <w:rPr>
          <w:rFonts w:ascii="仿宋" w:eastAsia="仿宋" w:hAnsi="仿宋" w:cs="仿宋" w:hint="eastAsia"/>
          <w:kern w:val="0"/>
          <w:sz w:val="30"/>
          <w:szCs w:val="30"/>
        </w:rPr>
        <w:t>3.</w:t>
      </w:r>
      <w:r>
        <w:rPr>
          <w:rFonts w:ascii="仿宋" w:eastAsia="仿宋" w:hAnsi="仿宋" w:cs="仿宋" w:hint="eastAsia"/>
          <w:kern w:val="0"/>
          <w:sz w:val="30"/>
          <w:szCs w:val="30"/>
        </w:rPr>
        <w:t>第三章对于涉税鉴证服务的基本流程的有关内容进行了修改补充；</w:t>
      </w:r>
      <w:r>
        <w:rPr>
          <w:rFonts w:ascii="仿宋" w:eastAsia="仿宋" w:hAnsi="仿宋" w:cs="仿宋" w:hint="eastAsia"/>
          <w:kern w:val="0"/>
          <w:sz w:val="30"/>
          <w:szCs w:val="30"/>
        </w:rPr>
        <w:t>4.</w:t>
      </w:r>
      <w:r>
        <w:rPr>
          <w:rFonts w:ascii="仿宋" w:eastAsia="仿宋" w:hAnsi="仿宋" w:cs="仿宋" w:hint="eastAsia"/>
          <w:kern w:val="0"/>
          <w:sz w:val="30"/>
          <w:szCs w:val="30"/>
        </w:rPr>
        <w:t>第四章中按照国家税务总局对于税务登记有关的最新规定或者名称进行了修改和补充；</w:t>
      </w:r>
      <w:r>
        <w:rPr>
          <w:rFonts w:ascii="仿宋" w:eastAsia="仿宋" w:hAnsi="仿宋" w:cs="仿宋" w:hint="eastAsia"/>
          <w:kern w:val="0"/>
          <w:sz w:val="30"/>
          <w:szCs w:val="30"/>
        </w:rPr>
        <w:t>5.</w:t>
      </w:r>
      <w:r>
        <w:rPr>
          <w:rFonts w:ascii="仿宋" w:eastAsia="仿宋" w:hAnsi="仿宋" w:cs="仿宋" w:hint="eastAsia"/>
          <w:kern w:val="0"/>
          <w:sz w:val="30"/>
          <w:szCs w:val="30"/>
        </w:rPr>
        <w:t>第九章根据税务总局和财政部联合发布的《财政部、税务总局关于调整增值税税率的通知》（财税〔</w:t>
      </w:r>
      <w:r>
        <w:rPr>
          <w:rFonts w:ascii="仿宋" w:eastAsia="仿宋" w:hAnsi="仿宋" w:cs="仿宋" w:hint="eastAsia"/>
          <w:kern w:val="0"/>
          <w:sz w:val="30"/>
          <w:szCs w:val="30"/>
        </w:rPr>
        <w:t>2018</w:t>
      </w:r>
      <w:r>
        <w:rPr>
          <w:rFonts w:ascii="仿宋" w:eastAsia="仿宋" w:hAnsi="仿宋" w:cs="仿宋" w:hint="eastAsia"/>
          <w:kern w:val="0"/>
          <w:sz w:val="30"/>
          <w:szCs w:val="30"/>
        </w:rPr>
        <w:t>〕</w:t>
      </w:r>
      <w:r>
        <w:rPr>
          <w:rFonts w:ascii="仿宋" w:eastAsia="仿宋" w:hAnsi="仿宋" w:cs="仿宋" w:hint="eastAsia"/>
          <w:kern w:val="0"/>
          <w:sz w:val="30"/>
          <w:szCs w:val="30"/>
        </w:rPr>
        <w:t>32</w:t>
      </w:r>
      <w:r>
        <w:rPr>
          <w:rFonts w:ascii="仿宋" w:eastAsia="仿宋" w:hAnsi="仿宋" w:cs="仿宋" w:hint="eastAsia"/>
          <w:kern w:val="0"/>
          <w:sz w:val="30"/>
          <w:szCs w:val="30"/>
        </w:rPr>
        <w:t>号）、《财政部税务总局关于统一增值税小规模纳税人标准的通知》（财税〔</w:t>
      </w:r>
      <w:r>
        <w:rPr>
          <w:rFonts w:ascii="仿宋" w:eastAsia="仿宋" w:hAnsi="仿宋" w:cs="仿宋" w:hint="eastAsia"/>
          <w:kern w:val="0"/>
          <w:sz w:val="30"/>
          <w:szCs w:val="30"/>
        </w:rPr>
        <w:t>2018</w:t>
      </w:r>
      <w:r>
        <w:rPr>
          <w:rFonts w:ascii="仿宋" w:eastAsia="仿宋" w:hAnsi="仿宋" w:cs="仿宋" w:hint="eastAsia"/>
          <w:kern w:val="0"/>
          <w:sz w:val="30"/>
          <w:szCs w:val="30"/>
        </w:rPr>
        <w:t>〕</w:t>
      </w:r>
      <w:r>
        <w:rPr>
          <w:rFonts w:ascii="仿宋" w:eastAsia="仿宋" w:hAnsi="仿宋" w:cs="仿宋" w:hint="eastAsia"/>
          <w:kern w:val="0"/>
          <w:sz w:val="30"/>
          <w:szCs w:val="30"/>
        </w:rPr>
        <w:t>33</w:t>
      </w:r>
      <w:r>
        <w:rPr>
          <w:rFonts w:ascii="仿宋" w:eastAsia="仿宋" w:hAnsi="仿宋" w:cs="仿宋" w:hint="eastAsia"/>
          <w:kern w:val="0"/>
          <w:sz w:val="30"/>
          <w:szCs w:val="30"/>
        </w:rPr>
        <w:t>号），对增值税改革的相关内容进行了补充；</w:t>
      </w:r>
      <w:r>
        <w:rPr>
          <w:rFonts w:ascii="仿宋" w:eastAsia="仿宋" w:hAnsi="仿宋" w:cs="仿宋" w:hint="eastAsia"/>
          <w:kern w:val="0"/>
          <w:sz w:val="30"/>
          <w:szCs w:val="30"/>
        </w:rPr>
        <w:t>6.</w:t>
      </w:r>
      <w:r>
        <w:rPr>
          <w:rFonts w:ascii="仿宋" w:eastAsia="仿宋" w:hAnsi="仿宋" w:cs="仿宋" w:hint="eastAsia"/>
          <w:kern w:val="0"/>
          <w:sz w:val="30"/>
          <w:szCs w:val="30"/>
        </w:rPr>
        <w:t>第十章增加了</w:t>
      </w:r>
      <w:r>
        <w:rPr>
          <w:rFonts w:ascii="仿宋" w:eastAsia="仿宋" w:hAnsi="仿宋" w:cs="仿宋" w:hint="eastAsia"/>
          <w:kern w:val="0"/>
          <w:sz w:val="30"/>
          <w:szCs w:val="30"/>
        </w:rPr>
        <w:t>2018</w:t>
      </w:r>
      <w:r>
        <w:rPr>
          <w:rFonts w:ascii="仿宋" w:eastAsia="仿宋" w:hAnsi="仿宋" w:cs="仿宋" w:hint="eastAsia"/>
          <w:kern w:val="0"/>
          <w:sz w:val="30"/>
          <w:szCs w:val="30"/>
        </w:rPr>
        <w:t>年</w:t>
      </w:r>
      <w:r>
        <w:rPr>
          <w:rFonts w:ascii="仿宋" w:eastAsia="仿宋" w:hAnsi="仿宋" w:cs="仿宋" w:hint="eastAsia"/>
          <w:kern w:val="0"/>
          <w:sz w:val="30"/>
          <w:szCs w:val="30"/>
        </w:rPr>
        <w:t>8</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日至</w:t>
      </w:r>
      <w:r>
        <w:rPr>
          <w:rFonts w:ascii="仿宋" w:eastAsia="仿宋" w:hAnsi="仿宋" w:cs="仿宋" w:hint="eastAsia"/>
          <w:kern w:val="0"/>
          <w:sz w:val="30"/>
          <w:szCs w:val="30"/>
        </w:rPr>
        <w:t>2019</w:t>
      </w:r>
      <w:r>
        <w:rPr>
          <w:rFonts w:ascii="仿宋" w:eastAsia="仿宋" w:hAnsi="仿宋" w:cs="仿宋" w:hint="eastAsia"/>
          <w:kern w:val="0"/>
          <w:sz w:val="30"/>
          <w:szCs w:val="30"/>
        </w:rPr>
        <w:t>年</w:t>
      </w:r>
      <w:r>
        <w:rPr>
          <w:rFonts w:ascii="仿宋" w:eastAsia="仿宋" w:hAnsi="仿宋" w:cs="仿宋" w:hint="eastAsia"/>
          <w:kern w:val="0"/>
          <w:sz w:val="30"/>
          <w:szCs w:val="30"/>
        </w:rPr>
        <w:t>4</w:t>
      </w:r>
      <w:r>
        <w:rPr>
          <w:rFonts w:ascii="仿宋" w:eastAsia="仿宋" w:hAnsi="仿宋" w:cs="仿宋" w:hint="eastAsia"/>
          <w:kern w:val="0"/>
          <w:sz w:val="30"/>
          <w:szCs w:val="30"/>
        </w:rPr>
        <w:t>月</w:t>
      </w:r>
      <w:r>
        <w:rPr>
          <w:rFonts w:ascii="仿宋" w:eastAsia="仿宋" w:hAnsi="仿宋" w:cs="仿宋" w:hint="eastAsia"/>
          <w:kern w:val="0"/>
          <w:sz w:val="30"/>
          <w:szCs w:val="30"/>
        </w:rPr>
        <w:t>30</w:t>
      </w:r>
      <w:r>
        <w:rPr>
          <w:rFonts w:ascii="仿宋" w:eastAsia="仿宋" w:hAnsi="仿宋" w:cs="仿宋" w:hint="eastAsia"/>
          <w:kern w:val="0"/>
          <w:sz w:val="30"/>
          <w:szCs w:val="30"/>
        </w:rPr>
        <w:t>日个人所得税法修正的有关内容；</w:t>
      </w:r>
      <w:r>
        <w:rPr>
          <w:rFonts w:ascii="仿宋" w:eastAsia="仿宋" w:hAnsi="仿宋" w:cs="仿宋" w:hint="eastAsia"/>
          <w:kern w:val="0"/>
          <w:sz w:val="30"/>
          <w:szCs w:val="30"/>
        </w:rPr>
        <w:t>7.</w:t>
      </w:r>
      <w:r>
        <w:rPr>
          <w:rFonts w:ascii="仿宋" w:eastAsia="仿宋" w:hAnsi="仿宋" w:cs="仿宋" w:hint="eastAsia"/>
          <w:kern w:val="0"/>
          <w:sz w:val="30"/>
          <w:szCs w:val="30"/>
        </w:rPr>
        <w:t>第十二章根据</w:t>
      </w:r>
      <w:r>
        <w:rPr>
          <w:rFonts w:ascii="仿宋" w:eastAsia="仿宋" w:hAnsi="仿宋" w:cs="仿宋" w:hint="eastAsia"/>
          <w:kern w:val="0"/>
          <w:sz w:val="30"/>
          <w:szCs w:val="30"/>
        </w:rPr>
        <w:t>国家税务总局发布的《关于稳妥有序做好社会保险费征管有关工作的通知》</w:t>
      </w:r>
      <w:r>
        <w:rPr>
          <w:rFonts w:ascii="仿宋" w:eastAsia="仿宋" w:hAnsi="仿宋" w:cs="仿宋" w:hint="eastAsia"/>
          <w:kern w:val="0"/>
          <w:sz w:val="30"/>
          <w:szCs w:val="30"/>
        </w:rPr>
        <w:lastRenderedPageBreak/>
        <w:t>（税总〔</w:t>
      </w:r>
      <w:r>
        <w:rPr>
          <w:rFonts w:ascii="仿宋" w:eastAsia="仿宋" w:hAnsi="仿宋" w:cs="仿宋" w:hint="eastAsia"/>
          <w:kern w:val="0"/>
          <w:sz w:val="30"/>
          <w:szCs w:val="30"/>
        </w:rPr>
        <w:t>2018</w:t>
      </w:r>
      <w:r>
        <w:rPr>
          <w:rFonts w:ascii="仿宋" w:eastAsia="仿宋" w:hAnsi="仿宋" w:cs="仿宋" w:hint="eastAsia"/>
          <w:kern w:val="0"/>
          <w:sz w:val="30"/>
          <w:szCs w:val="30"/>
        </w:rPr>
        <w:t>〕</w:t>
      </w:r>
      <w:r>
        <w:rPr>
          <w:rFonts w:ascii="仿宋" w:eastAsia="仿宋" w:hAnsi="仿宋" w:cs="仿宋" w:hint="eastAsia"/>
          <w:kern w:val="0"/>
          <w:sz w:val="30"/>
          <w:szCs w:val="30"/>
        </w:rPr>
        <w:t>142</w:t>
      </w:r>
      <w:r>
        <w:rPr>
          <w:rFonts w:ascii="仿宋" w:eastAsia="仿宋" w:hAnsi="仿宋" w:cs="仿宋" w:hint="eastAsia"/>
          <w:kern w:val="0"/>
          <w:sz w:val="30"/>
          <w:szCs w:val="30"/>
        </w:rPr>
        <w:t>号），增加了社会保险费申报代理和审核的有关内容。</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第一章　导论</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一、税务师概述</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（一）熟悉税务师的服务范围</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（二）了解税务师行业的特点</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（三）熟悉税务师的执业原则</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二、税务代理制度的产生与发展</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（一）了解税务代理制度产生与发展的基本历程</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（二）了解税务代理在税收征纳关系中的作用</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三、熟悉我国税务师资格的取得和税务师事务所的设立、变更</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四、熟悉涉税服务的范围和税务师的执业规则</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五、熟悉涉税服务的法律关系与法律责任</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六、了解税务师的职业道德</w:t>
      </w:r>
      <w:r>
        <w:rPr>
          <w:rFonts w:ascii="仿宋" w:eastAsia="仿宋" w:hAnsi="仿宋" w:cs="仿宋" w:hint="eastAsia"/>
          <w:bCs/>
          <w:kern w:val="0"/>
          <w:sz w:val="30"/>
          <w:szCs w:val="30"/>
        </w:rPr>
        <w:t xml:space="preserve"> </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第二章　税务管理概述</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一、税务管理体制</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（一）了解我国分税制财税管理体制</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（二）熟悉我国现行的税务管理机构的设置及其职能划分</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二、税收征收管理程序及要求</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（一）掌握税务登记管理、账簿凭证管理、纳税申报和纳税评估</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（二）熟悉税务机关征收税款的基本方法、税务检查的基本形式</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三、征纳双方的权利、义务和责任</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lastRenderedPageBreak/>
        <w:t>（一）熟悉在征纳关系中税务机关的权利、义务，纳税人、扣缴义务人的权利、义务</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（二）掌握纳税人、扣缴义务人的法律责任</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第三章　涉税服务业务</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一、涉税鉴证业务</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（一）了解涉税鉴证的特点，熟悉涉税鉴证的种类和遵循原则</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（二）熟悉涉税鉴证和审核的基本业务流程，了解业务约定书的内容，</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（三）了解涉税鉴证和审核计划、具体内容、工作底稿内容及业务报告，</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（四）了解涉税鉴证服务的风险控制内容</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二、非涉税鉴证服务</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（一）了解非涉税鉴定服务的特点，熟悉非涉税鉴定服务的种类和遵循原则</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（二）熟悉非涉税鉴定服务中有关涉税服务的基本业务流程</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（三）了解非涉税鉴定业务中涉税服务业务约定书的内容、履约、变更、违约责任、争议解决</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（四）了解非涉税鉴</w:t>
      </w:r>
      <w:r>
        <w:rPr>
          <w:rFonts w:ascii="仿宋" w:eastAsia="仿宋" w:hAnsi="仿宋" w:cs="仿宋" w:hint="eastAsia"/>
          <w:bCs/>
          <w:kern w:val="0"/>
          <w:sz w:val="30"/>
          <w:szCs w:val="30"/>
        </w:rPr>
        <w:t>定业务中的服务计划、业务实施的方法、业务记录和业务报告</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第四章　税务登记代理</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一、企业税务登记代理</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（一）熟悉企业信息报告制度</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lastRenderedPageBreak/>
        <w:t>（二）了解商事制度改革后实施五证合一的税务登记办法及相关规定</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（三）了解企业设立、变更、注销等税务登记的基本规程</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（四）掌握代理企业税务登记的操作要点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二、纳税事项税务登记代理</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（一）了解增值税一般纳税人认定登记的管理制度</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（二）掌握代理增值税一般纳税人认定登记的操作要点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（三）了解代理税种认定登记的基本内容与操作要点</w:t>
      </w:r>
      <w:r>
        <w:rPr>
          <w:rFonts w:ascii="仿宋" w:eastAsia="仿宋" w:hAnsi="仿宋" w:cs="仿宋" w:hint="eastAsia"/>
          <w:bCs/>
          <w:kern w:val="0"/>
          <w:sz w:val="30"/>
          <w:szCs w:val="30"/>
        </w:rPr>
        <w:t xml:space="preserve"> </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第五章　发票领购与审核代理</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一、熟悉发票种类、适用范围及不同纳税人使用发票的权限</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二、了解领用、印制发票操作规定及电子发票的有关规定</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三、掌握增值税发票管理新系统的发票填开各种具体要求及操作要点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四、熟悉代理审核增值税发票的基本内容及操作要点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五、熟悉发票违章处罚的具体规定</w:t>
      </w:r>
      <w:r>
        <w:rPr>
          <w:rFonts w:ascii="仿宋" w:eastAsia="仿宋" w:hAnsi="仿宋" w:cs="仿宋" w:hint="eastAsia"/>
          <w:bCs/>
          <w:kern w:val="0"/>
          <w:sz w:val="30"/>
          <w:szCs w:val="30"/>
        </w:rPr>
        <w:t xml:space="preserve"> </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第六章　建账建制代理记账实务</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一、了解代理建账记账的适用范围</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二、熟悉代理建立简易账或复式账的基本要求</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三、熟悉代理建立财务制度的基本内容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四、熟悉代制记账凭证、代作账务处理、代理编制会计报表的操作规范</w:t>
      </w:r>
      <w:r>
        <w:rPr>
          <w:rFonts w:ascii="仿宋" w:eastAsia="仿宋" w:hAnsi="仿宋" w:cs="仿宋" w:hint="eastAsia"/>
          <w:bCs/>
          <w:kern w:val="0"/>
          <w:sz w:val="30"/>
          <w:szCs w:val="30"/>
        </w:rPr>
        <w:t xml:space="preserve"> </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第七章　企业涉税会计核算</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lastRenderedPageBreak/>
        <w:t>一、企业主要会计科目的设置</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（一）了解企业涉税会计核算的会计科目设置</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（二）熟悉各科目核算内容及“应交税费——应交增值税”各专栏与“应交税费——未交增值税”的核算要点</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二、工业企业涉税会计核算</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（一）熟悉工业企业供、产、销环节的业务流程</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（二）掌握各环节增值税涉税会计核算</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（三）熟悉消费税应税消费品工业企业有关消费税的涉税核算</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（四）了解其他税费的核算</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（五）掌握企业所得税的涉税核算</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（六）熟悉出口货物“免、抵、退”税的会计核算</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三、熟悉商业企业购、销环节的业务流程及各环节增值税涉税会计核算</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w:t>
      </w:r>
      <w:r>
        <w:rPr>
          <w:rFonts w:ascii="仿宋" w:eastAsia="仿宋" w:hAnsi="仿宋" w:cs="仿宋" w:hint="eastAsia"/>
          <w:bCs/>
          <w:kern w:val="0"/>
          <w:sz w:val="30"/>
          <w:szCs w:val="30"/>
        </w:rPr>
        <w:t>、熟悉商业企业金银首饰消费税的涉税核算</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五、掌握全面营改增后的增值税会计核算</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Cs/>
          <w:kern w:val="0"/>
          <w:sz w:val="30"/>
          <w:szCs w:val="30"/>
        </w:rPr>
        <w:t xml:space="preserve"> </w:t>
      </w:r>
      <w:r>
        <w:rPr>
          <w:rFonts w:ascii="仿宋" w:eastAsia="仿宋" w:hAnsi="仿宋" w:cs="仿宋" w:hint="eastAsia"/>
          <w:b/>
          <w:bCs/>
          <w:kern w:val="0"/>
          <w:sz w:val="30"/>
          <w:szCs w:val="30"/>
        </w:rPr>
        <w:t>第八章　代理纳税审查方法</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一、掌握代理纳税审查的基本方法</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二、了解代理纳税审查的基本内容</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（一）熟悉代理审核会计报表、会计账簿、会计凭证的主要内容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（二）掌握不同委托人代理审查的侧重点</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三、熟悉调账基本方法和基本原则</w:t>
      </w:r>
      <w:r>
        <w:rPr>
          <w:rFonts w:ascii="仿宋" w:eastAsia="仿宋" w:hAnsi="仿宋" w:cs="仿宋" w:hint="eastAsia"/>
          <w:bCs/>
          <w:kern w:val="0"/>
          <w:sz w:val="30"/>
          <w:szCs w:val="30"/>
        </w:rPr>
        <w:t xml:space="preserve">  </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第九章　货物和劳务税纳税申报代理和纳税审核</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lastRenderedPageBreak/>
        <w:t>一、增值税纳税申报代理</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（一）掌握代理增值税一般纳税人的增值税纳税申报</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（二）熟悉代理增值税小规模纳税人的增值税纳税申报</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二、掌握增值税纳税审核</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（一）掌握代理增值税征税和免税范围的确定，熟悉货物销售额、应税劳务额、销售不动产、转让无形资产销售额的审核与销项税额、进项税额的结转、应纳税额的审核</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（二）掌握增值税小规模纳税人应税销售额、应纳税额的审核</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三、代理消费税纳税申报</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四、熟悉代理消费税应税销售额，适用税目、税率，纳税环节的审核</w:t>
      </w:r>
      <w:r>
        <w:rPr>
          <w:rFonts w:ascii="仿宋" w:eastAsia="仿宋" w:hAnsi="仿宋" w:cs="仿宋" w:hint="eastAsia"/>
          <w:bCs/>
          <w:kern w:val="0"/>
          <w:sz w:val="30"/>
          <w:szCs w:val="30"/>
        </w:rPr>
        <w:t xml:space="preserve"> </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第十章　所得税纳税申报代理和纳税审核</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一、企业所得税纳税申报</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（一）了解企业所得税年度纳税申报表的格式、内容</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（二）熟悉企业所得税纳税申报操作规范，掌握企业所得税纳税申报表计算填报方法</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二、企业所得税纳税审核</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w:t>
      </w:r>
      <w:r>
        <w:rPr>
          <w:rFonts w:ascii="仿宋" w:eastAsia="仿宋" w:hAnsi="仿宋" w:cs="仿宋" w:hint="eastAsia"/>
          <w:bCs/>
          <w:kern w:val="0"/>
          <w:sz w:val="30"/>
          <w:szCs w:val="30"/>
        </w:rPr>
        <w:t>一）掌握企业所得税成本、费用、税金、损失、投资收益、营业外收入代理审核操作要点</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（二）掌握会计所得调整为应税所得审核的内容、方法，熟悉应缴所得税的审核要点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三、了解企业所得税特别纳税调整的规定</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lastRenderedPageBreak/>
        <w:t>四、个人所得税申报代理</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（一）熟悉代理个人所得税纳税申报操作规范，掌握个人所得税扣缴申报管理办法</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（二）掌握居民个人预扣预缴和非居民个人扣缴方法</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五、个人所得税纳税审核</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（一）掌握代理个人所得税综合所得，经营所得，利息、股利、红利等所得纳税申报和审核的操作要点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（二）掌握个人所得税专项附加扣除操作办法</w:t>
      </w:r>
      <w:r>
        <w:rPr>
          <w:rFonts w:ascii="仿宋" w:eastAsia="仿宋" w:hAnsi="仿宋" w:cs="仿宋" w:hint="eastAsia"/>
          <w:bCs/>
          <w:kern w:val="0"/>
          <w:sz w:val="30"/>
          <w:szCs w:val="30"/>
        </w:rPr>
        <w:t xml:space="preserve"> </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第十一</w:t>
      </w:r>
      <w:r>
        <w:rPr>
          <w:rFonts w:ascii="仿宋" w:eastAsia="仿宋" w:hAnsi="仿宋" w:cs="仿宋" w:hint="eastAsia"/>
          <w:b/>
          <w:bCs/>
          <w:kern w:val="0"/>
          <w:sz w:val="30"/>
          <w:szCs w:val="30"/>
        </w:rPr>
        <w:t>章　其他税种纳税申报和纳税审核</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一、了解代理土地增值税纳税申报与审核操作规范，掌握土地增值税纳税申报表计算填报方法</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二、掌握土地增值税土地增值额、应纳税额审核操作要点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三、熟悉代理印花税纳税申报操作规范，掌握印花税纳税申报表计算填报方法</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四、掌握印花税应税合同，其他凭证计税金额，适用税目、税率，代理审核操作要点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五、了解代理房产税纳税申报操作规范，了解代理房产税纳税申报表计算填报方法</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六、掌握房产税自用房产原值和计税依据代理审核操作要点，掌握出租房产租金收入代理审核的基本方法</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七、了解代理资源税纳税人、扣缴义务人纳税申报操作规范，熟悉资源税纳税申报表计算填报方法</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lastRenderedPageBreak/>
        <w:t>八、熟悉代理审核资源税的基本方法和操作要点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九、了解代理城镇土地使用税纳税申报操作规范，了解代理城镇土地使用税纳税申报表计算填报方法</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十、掌握城镇土地使用税应税土地面积、减免税土地面积代理审核操作要点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十一、了解环境保护税纳税申报操作规范和计算填报方法</w:t>
      </w:r>
      <w:r>
        <w:rPr>
          <w:rFonts w:ascii="仿宋" w:eastAsia="仿宋" w:hAnsi="仿宋" w:cs="仿宋" w:hint="eastAsia"/>
          <w:bCs/>
          <w:kern w:val="0"/>
          <w:sz w:val="30"/>
          <w:szCs w:val="30"/>
        </w:rPr>
        <w:t xml:space="preserve"> </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第十二章　社会保险费与非税收入申报代理与审核</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一、了解社会保险费申报代理操作规范。</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二、熟悉基本养老保险、基本医疗保险的审核要点。</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第十三章　税务行政复议代理</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一、税务行政复议的有关规定</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（一）了解税务行政复议受案范围和参加人</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（二）熟悉税务行政复议的申请、受理、证据、决定和送达</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二、代理税务行政复议的基本前提与操作规范</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第十四章　税务咨询与税务顾问</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一、税务咨询</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（一）熟悉税务咨询的内容和形式</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（二）掌握税收政策运用咨询的操作要点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二、了解税务顾问的基本内容</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三、现代税务咨询—税收筹划</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（一）了解税收筹划的特点和作用</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（二）了解税收筹划的基本程序、方法和操作要点</w:t>
      </w:r>
      <w:r>
        <w:rPr>
          <w:rFonts w:ascii="仿宋" w:eastAsia="仿宋" w:hAnsi="仿宋" w:cs="仿宋" w:hint="eastAsia"/>
          <w:bCs/>
          <w:kern w:val="0"/>
          <w:sz w:val="30"/>
          <w:szCs w:val="30"/>
        </w:rPr>
        <w:t xml:space="preserve"> </w:t>
      </w:r>
    </w:p>
    <w:p w:rsidR="00086B67" w:rsidRDefault="00845B34">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lastRenderedPageBreak/>
        <w:t>第十五章　税务师执业风险与税务师事务所质量控制</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一、税务师执业风险</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（一）了解税务师</w:t>
      </w:r>
      <w:r>
        <w:rPr>
          <w:rFonts w:ascii="仿宋" w:eastAsia="仿宋" w:hAnsi="仿宋" w:cs="仿宋" w:hint="eastAsia"/>
          <w:bCs/>
          <w:kern w:val="0"/>
          <w:sz w:val="30"/>
          <w:szCs w:val="30"/>
        </w:rPr>
        <w:t>执业风险的影响因素</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（二）熟悉税务师执业风险表现形式</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二、税务师事务所质量控制</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（一）掌握税务师事务所执业质量控制的目标</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（二）熟悉执业质量控制涉及要素和制定执业</w:t>
      </w: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质量控制制度的原则</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（三）掌握质量控制的责任，了解职业道德规范和人力资源管理制度</w:t>
      </w:r>
      <w:r>
        <w:rPr>
          <w:rFonts w:ascii="仿宋" w:eastAsia="仿宋" w:hAnsi="仿宋" w:cs="仿宋" w:hint="eastAsia"/>
          <w:bCs/>
          <w:kern w:val="0"/>
          <w:sz w:val="30"/>
          <w:szCs w:val="30"/>
        </w:rPr>
        <w:t xml:space="preserve"> </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（四）熟悉业务质量控制制度的内容，了解业务的承接、业务约定书的签订，</w:t>
      </w:r>
    </w:p>
    <w:p w:rsidR="00086B67" w:rsidRDefault="00845B34">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（五）熟悉业务委派、业务实施制度，掌握业务质量控制复核与监控程序的人员确定和复核或监控内容</w:t>
      </w:r>
    </w:p>
    <w:p w:rsidR="00086B67" w:rsidRDefault="00845B34">
      <w:pPr>
        <w:widowControl/>
        <w:ind w:firstLineChars="200" w:firstLine="600"/>
        <w:jc w:val="left"/>
        <w:rPr>
          <w:rFonts w:ascii="仿宋" w:eastAsia="仿宋" w:hAnsi="仿宋" w:cs="仿宋"/>
          <w:sz w:val="30"/>
          <w:szCs w:val="30"/>
        </w:rPr>
      </w:pPr>
      <w:r>
        <w:rPr>
          <w:rFonts w:ascii="仿宋" w:eastAsia="仿宋" w:hAnsi="仿宋" w:cs="仿宋" w:hint="eastAsia"/>
          <w:bCs/>
          <w:kern w:val="0"/>
          <w:sz w:val="30"/>
          <w:szCs w:val="30"/>
        </w:rPr>
        <w:t>（六）了解业务工作底稿及档案管理制度</w:t>
      </w:r>
    </w:p>
    <w:sectPr w:rsidR="00086B67">
      <w:footerReference w:type="default" r:id="rId8"/>
      <w:pgSz w:w="11906" w:h="16838"/>
      <w:pgMar w:top="1418"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34" w:rsidRDefault="00845B34">
      <w:r>
        <w:separator/>
      </w:r>
    </w:p>
  </w:endnote>
  <w:endnote w:type="continuationSeparator" w:id="0">
    <w:p w:rsidR="00845B34" w:rsidRDefault="0084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28595"/>
    </w:sdtPr>
    <w:sdtEndPr/>
    <w:sdtContent>
      <w:p w:rsidR="00086B67" w:rsidRDefault="00845B34">
        <w:pPr>
          <w:pStyle w:val="a4"/>
          <w:jc w:val="center"/>
        </w:pPr>
        <w:r>
          <w:fldChar w:fldCharType="begin"/>
        </w:r>
        <w:r>
          <w:instrText>PAGE   \* MERGEFORMAT</w:instrText>
        </w:r>
        <w:r>
          <w:fldChar w:fldCharType="separate"/>
        </w:r>
        <w:r w:rsidR="004B155F" w:rsidRPr="004B155F">
          <w:rPr>
            <w:noProof/>
            <w:lang w:val="zh-CN"/>
          </w:rPr>
          <w:t>2</w:t>
        </w:r>
        <w:r>
          <w:fldChar w:fldCharType="end"/>
        </w:r>
      </w:p>
    </w:sdtContent>
  </w:sdt>
  <w:p w:rsidR="00086B67" w:rsidRDefault="00086B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34" w:rsidRDefault="00845B34">
      <w:r>
        <w:separator/>
      </w:r>
    </w:p>
  </w:footnote>
  <w:footnote w:type="continuationSeparator" w:id="0">
    <w:p w:rsidR="00845B34" w:rsidRDefault="00845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7722E"/>
    <w:rsid w:val="00086B67"/>
    <w:rsid w:val="0018183E"/>
    <w:rsid w:val="003C0583"/>
    <w:rsid w:val="004065B8"/>
    <w:rsid w:val="004367D5"/>
    <w:rsid w:val="004B155F"/>
    <w:rsid w:val="004C7A64"/>
    <w:rsid w:val="00542051"/>
    <w:rsid w:val="0066575B"/>
    <w:rsid w:val="00722D8F"/>
    <w:rsid w:val="00845B34"/>
    <w:rsid w:val="0089044F"/>
    <w:rsid w:val="009D34E5"/>
    <w:rsid w:val="00A56EDD"/>
    <w:rsid w:val="00A63851"/>
    <w:rsid w:val="00B81683"/>
    <w:rsid w:val="00C205DC"/>
    <w:rsid w:val="00C24FC3"/>
    <w:rsid w:val="00D801C5"/>
    <w:rsid w:val="00D84B44"/>
    <w:rsid w:val="00E212A8"/>
    <w:rsid w:val="00E73237"/>
    <w:rsid w:val="00FC49ED"/>
    <w:rsid w:val="00FE1C7F"/>
    <w:rsid w:val="0A611C2D"/>
    <w:rsid w:val="430D4E68"/>
    <w:rsid w:val="5257722E"/>
    <w:rsid w:val="6CF0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rFonts w:cs="Times New Roman"/>
      <w:kern w:val="0"/>
      <w:sz w:val="24"/>
    </w:rPr>
  </w:style>
  <w:style w:type="character" w:styleId="a7">
    <w:name w:val="FollowedHyperlink"/>
    <w:basedOn w:val="a0"/>
    <w:rPr>
      <w:color w:val="005C81"/>
      <w:u w:val="none"/>
    </w:rPr>
  </w:style>
  <w:style w:type="character" w:styleId="a8">
    <w:name w:val="Emphasis"/>
    <w:basedOn w:val="a0"/>
    <w:qFormat/>
  </w:style>
  <w:style w:type="character" w:styleId="a9">
    <w:name w:val="Hyperlink"/>
    <w:basedOn w:val="a0"/>
    <w:qFormat/>
    <w:rPr>
      <w:color w:val="005C81"/>
      <w:u w:val="none"/>
    </w:rPr>
  </w:style>
  <w:style w:type="character" w:customStyle="1" w:styleId="Char0">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rFonts w:cs="Times New Roman"/>
      <w:kern w:val="0"/>
      <w:sz w:val="24"/>
    </w:rPr>
  </w:style>
  <w:style w:type="character" w:styleId="a7">
    <w:name w:val="FollowedHyperlink"/>
    <w:basedOn w:val="a0"/>
    <w:rPr>
      <w:color w:val="005C81"/>
      <w:u w:val="none"/>
    </w:rPr>
  </w:style>
  <w:style w:type="character" w:styleId="a8">
    <w:name w:val="Emphasis"/>
    <w:basedOn w:val="a0"/>
    <w:qFormat/>
  </w:style>
  <w:style w:type="character" w:styleId="a9">
    <w:name w:val="Hyperlink"/>
    <w:basedOn w:val="a0"/>
    <w:qFormat/>
    <w:rPr>
      <w:color w:val="005C81"/>
      <w:u w:val="none"/>
    </w:rPr>
  </w:style>
  <w:style w:type="character" w:customStyle="1" w:styleId="Char0">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3768</Words>
  <Characters>21480</Characters>
  <Application>Microsoft Office Word</Application>
  <DocSecurity>0</DocSecurity>
  <Lines>179</Lines>
  <Paragraphs>50</Paragraphs>
  <ScaleCrop>false</ScaleCrop>
  <Company>微软中国</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2019-04-08T06:46:00Z</cp:lastPrinted>
  <dcterms:created xsi:type="dcterms:W3CDTF">2019-05-21T07:50:00Z</dcterms:created>
  <dcterms:modified xsi:type="dcterms:W3CDTF">2019-05-21T07:50:00Z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